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宋体" w:hAnsi="宋体" w:cs="宋体"/>
          <w:b/>
          <w:bCs/>
          <w:sz w:val="36"/>
          <w:szCs w:val="36"/>
        </w:rPr>
      </w:pPr>
      <w:r>
        <w:rPr>
          <w:rFonts w:hint="eastAsia" w:ascii="宋体" w:hAnsi="宋体" w:cs="宋体"/>
          <w:b/>
          <w:bCs/>
          <w:sz w:val="36"/>
          <w:szCs w:val="36"/>
        </w:rPr>
        <w:t xml:space="preserve"> </w:t>
      </w:r>
    </w:p>
    <w:p>
      <w:pPr>
        <w:adjustRightInd w:val="0"/>
        <w:snapToGrid w:val="0"/>
        <w:spacing w:line="360" w:lineRule="auto"/>
        <w:jc w:val="center"/>
        <w:rPr>
          <w:sz w:val="52"/>
          <w:szCs w:val="52"/>
        </w:rPr>
      </w:pPr>
      <w:r>
        <w:rPr>
          <w:rFonts w:hint="eastAsia" w:hAnsi="宋体" w:cs="宋体"/>
          <w:b/>
          <w:bCs/>
          <w:color w:val="000000"/>
          <w:sz w:val="52"/>
          <w:szCs w:val="52"/>
        </w:rPr>
        <w:t>云南省生态环境监测中心云南省土壤环境信息化管理平台运维项目</w:t>
      </w: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adjustRightInd w:val="0"/>
        <w:snapToGrid w:val="0"/>
        <w:spacing w:line="360" w:lineRule="auto"/>
      </w:pPr>
    </w:p>
    <w:p>
      <w:pPr>
        <w:pStyle w:val="20"/>
        <w:snapToGrid w:val="0"/>
        <w:spacing w:line="360" w:lineRule="auto"/>
        <w:jc w:val="center"/>
        <w:outlineLvl w:val="0"/>
        <w:rPr>
          <w:rFonts w:hAnsi="宋体" w:cs="宋体"/>
          <w:b/>
          <w:bCs/>
          <w:color w:val="000000"/>
          <w:sz w:val="84"/>
          <w:szCs w:val="84"/>
        </w:rPr>
      </w:pPr>
      <w:bookmarkStart w:id="0" w:name="_Toc12026"/>
      <w:bookmarkStart w:id="1" w:name="_Toc27790"/>
      <w:bookmarkStart w:id="2" w:name="_Toc22301"/>
      <w:r>
        <w:rPr>
          <w:rFonts w:hint="eastAsia" w:hAnsi="宋体" w:cs="宋体"/>
          <w:b/>
          <w:bCs/>
          <w:color w:val="000000"/>
          <w:sz w:val="84"/>
          <w:szCs w:val="84"/>
        </w:rPr>
        <w:t>竞争性磋商文件</w:t>
      </w:r>
      <w:bookmarkEnd w:id="0"/>
      <w:bookmarkEnd w:id="1"/>
      <w:bookmarkEnd w:id="2"/>
    </w:p>
    <w:p>
      <w:pPr>
        <w:pStyle w:val="20"/>
        <w:snapToGrid w:val="0"/>
        <w:spacing w:line="360" w:lineRule="auto"/>
        <w:jc w:val="center"/>
        <w:outlineLvl w:val="0"/>
        <w:rPr>
          <w:rFonts w:hAnsi="宋体" w:cs="宋体"/>
          <w:b/>
          <w:bCs/>
          <w:color w:val="000000"/>
          <w:w w:val="95"/>
          <w:sz w:val="32"/>
          <w:szCs w:val="32"/>
        </w:rPr>
      </w:pPr>
      <w:bookmarkStart w:id="3" w:name="_Toc11199"/>
      <w:bookmarkStart w:id="4" w:name="_Toc20670"/>
      <w:bookmarkStart w:id="5" w:name="_Toc18690"/>
      <w:r>
        <w:rPr>
          <w:rFonts w:hint="eastAsia" w:hAnsi="宋体" w:cs="宋体"/>
          <w:b/>
          <w:bCs/>
          <w:color w:val="000000"/>
          <w:w w:val="95"/>
          <w:sz w:val="32"/>
          <w:szCs w:val="32"/>
        </w:rPr>
        <w:t>（项目编号： ）</w:t>
      </w:r>
      <w:bookmarkEnd w:id="3"/>
      <w:bookmarkEnd w:id="4"/>
      <w:bookmarkEnd w:id="5"/>
    </w:p>
    <w:p>
      <w:pPr>
        <w:adjustRightInd w:val="0"/>
        <w:snapToGrid w:val="0"/>
        <w:spacing w:line="360" w:lineRule="auto"/>
        <w:rPr>
          <w:rFonts w:ascii="宋体" w:hAnsi="宋体" w:cs="宋体"/>
          <w:color w:val="000000"/>
          <w:sz w:val="32"/>
          <w:szCs w:val="30"/>
        </w:rPr>
      </w:pPr>
    </w:p>
    <w:p>
      <w:pPr>
        <w:adjustRightInd w:val="0"/>
        <w:snapToGrid w:val="0"/>
        <w:spacing w:line="360" w:lineRule="auto"/>
        <w:rPr>
          <w:rFonts w:ascii="宋体" w:hAnsi="宋体" w:cs="宋体"/>
          <w:color w:val="000000"/>
          <w:sz w:val="32"/>
          <w:szCs w:val="30"/>
        </w:rPr>
      </w:pPr>
    </w:p>
    <w:p>
      <w:pPr>
        <w:adjustRightInd w:val="0"/>
        <w:snapToGrid w:val="0"/>
        <w:spacing w:line="360" w:lineRule="auto"/>
        <w:rPr>
          <w:rFonts w:ascii="宋体" w:hAnsi="宋体" w:cs="宋体"/>
          <w:color w:val="000000"/>
          <w:sz w:val="32"/>
          <w:szCs w:val="30"/>
        </w:rPr>
      </w:pPr>
    </w:p>
    <w:p>
      <w:pPr>
        <w:adjustRightInd w:val="0"/>
        <w:snapToGrid w:val="0"/>
        <w:spacing w:line="360" w:lineRule="auto"/>
        <w:rPr>
          <w:rFonts w:ascii="宋体" w:hAnsi="宋体" w:cs="宋体"/>
          <w:color w:val="000000"/>
          <w:sz w:val="32"/>
          <w:szCs w:val="30"/>
        </w:rPr>
      </w:pPr>
    </w:p>
    <w:p>
      <w:pPr>
        <w:pStyle w:val="2"/>
        <w:rPr>
          <w:rFonts w:ascii="宋体" w:hAnsi="宋体" w:cs="宋体"/>
          <w:color w:val="000000"/>
          <w:sz w:val="32"/>
          <w:szCs w:val="30"/>
        </w:rPr>
      </w:pPr>
    </w:p>
    <w:p>
      <w:pPr>
        <w:rPr>
          <w:rFonts w:ascii="宋体" w:hAnsi="宋体" w:cs="宋体"/>
          <w:color w:val="000000"/>
          <w:sz w:val="32"/>
          <w:szCs w:val="30"/>
        </w:rPr>
      </w:pPr>
    </w:p>
    <w:p>
      <w:pPr>
        <w:pStyle w:val="2"/>
      </w:pPr>
    </w:p>
    <w:p>
      <w:pPr>
        <w:adjustRightInd w:val="0"/>
        <w:snapToGrid w:val="0"/>
        <w:spacing w:line="360" w:lineRule="auto"/>
        <w:rPr>
          <w:rFonts w:ascii="宋体" w:hAnsi="宋体" w:cs="宋体"/>
          <w:color w:val="000000"/>
          <w:sz w:val="32"/>
          <w:szCs w:val="30"/>
        </w:rPr>
      </w:pPr>
    </w:p>
    <w:p>
      <w:pPr>
        <w:pStyle w:val="20"/>
        <w:snapToGrid w:val="0"/>
        <w:spacing w:line="360" w:lineRule="auto"/>
        <w:jc w:val="center"/>
        <w:outlineLvl w:val="0"/>
        <w:rPr>
          <w:rFonts w:hAnsi="宋体" w:cs="宋体"/>
          <w:b/>
          <w:bCs/>
          <w:color w:val="000000"/>
          <w:w w:val="95"/>
          <w:sz w:val="32"/>
        </w:rPr>
      </w:pPr>
      <w:bookmarkStart w:id="6" w:name="_Toc4385"/>
      <w:bookmarkStart w:id="7" w:name="_Toc29892"/>
      <w:bookmarkStart w:id="8" w:name="_Toc21952"/>
      <w:r>
        <w:rPr>
          <w:rFonts w:hint="eastAsia" w:hAnsi="宋体" w:cs="宋体"/>
          <w:b/>
          <w:bCs/>
          <w:color w:val="000000"/>
          <w:w w:val="95"/>
          <w:sz w:val="32"/>
        </w:rPr>
        <w:t xml:space="preserve">采 </w:t>
      </w:r>
      <w:r>
        <w:rPr>
          <w:rFonts w:hAnsi="宋体" w:cs="宋体"/>
          <w:b/>
          <w:bCs/>
          <w:color w:val="000000"/>
          <w:w w:val="95"/>
          <w:sz w:val="32"/>
        </w:rPr>
        <w:t xml:space="preserve">  </w:t>
      </w:r>
      <w:r>
        <w:rPr>
          <w:rFonts w:hint="eastAsia" w:hAnsi="宋体" w:cs="宋体"/>
          <w:b/>
          <w:bCs/>
          <w:color w:val="000000"/>
          <w:w w:val="95"/>
          <w:sz w:val="32"/>
        </w:rPr>
        <w:t xml:space="preserve">购 </w:t>
      </w:r>
      <w:r>
        <w:rPr>
          <w:rFonts w:hAnsi="宋体" w:cs="宋体"/>
          <w:b/>
          <w:bCs/>
          <w:color w:val="000000"/>
          <w:w w:val="95"/>
          <w:sz w:val="32"/>
        </w:rPr>
        <w:t xml:space="preserve">  </w:t>
      </w:r>
      <w:r>
        <w:rPr>
          <w:rFonts w:hint="eastAsia" w:hAnsi="宋体" w:cs="宋体"/>
          <w:b/>
          <w:bCs/>
          <w:color w:val="000000"/>
          <w:w w:val="95"/>
          <w:sz w:val="32"/>
        </w:rPr>
        <w:t>人：</w:t>
      </w:r>
      <w:bookmarkEnd w:id="6"/>
      <w:bookmarkEnd w:id="7"/>
      <w:bookmarkEnd w:id="8"/>
      <w:r>
        <w:rPr>
          <w:rFonts w:hint="eastAsia" w:hAnsi="宋体" w:cs="宋体"/>
          <w:b/>
          <w:bCs/>
          <w:color w:val="000000"/>
          <w:w w:val="95"/>
          <w:sz w:val="32"/>
        </w:rPr>
        <w:t>云南省生态环境监测中心</w:t>
      </w:r>
    </w:p>
    <w:p>
      <w:pPr>
        <w:pStyle w:val="20"/>
        <w:snapToGrid w:val="0"/>
        <w:spacing w:line="360" w:lineRule="auto"/>
        <w:jc w:val="center"/>
        <w:rPr>
          <w:rFonts w:hAnsi="宋体" w:cs="宋体"/>
          <w:b/>
          <w:bCs/>
          <w:color w:val="000000"/>
          <w:w w:val="95"/>
          <w:sz w:val="32"/>
        </w:rPr>
      </w:pPr>
      <w:r>
        <w:rPr>
          <w:rFonts w:hint="eastAsia" w:hAnsi="宋体" w:cs="宋体"/>
          <w:b/>
          <w:bCs/>
          <w:color w:val="000000"/>
          <w:w w:val="95"/>
          <w:sz w:val="32"/>
        </w:rPr>
        <w:t>采购代理机构：</w:t>
      </w:r>
      <w:r>
        <w:rPr>
          <w:rFonts w:hint="eastAsia" w:hAnsi="宋体" w:cs="宋体"/>
          <w:b/>
          <w:bCs/>
          <w:color w:val="000000"/>
          <w:spacing w:val="20"/>
          <w:w w:val="95"/>
          <w:sz w:val="32"/>
        </w:rPr>
        <w:t>云南中云招标咨询有限公司</w:t>
      </w:r>
    </w:p>
    <w:p>
      <w:pPr>
        <w:pStyle w:val="20"/>
        <w:snapToGrid w:val="0"/>
        <w:spacing w:line="360" w:lineRule="auto"/>
        <w:jc w:val="center"/>
        <w:outlineLvl w:val="0"/>
        <w:rPr>
          <w:rFonts w:hAnsi="宋体" w:cs="宋体"/>
          <w:b/>
          <w:bCs/>
          <w:color w:val="000000"/>
          <w:w w:val="95"/>
          <w:sz w:val="32"/>
        </w:rPr>
      </w:pPr>
      <w:bookmarkStart w:id="9" w:name="_Toc5393"/>
      <w:bookmarkStart w:id="10" w:name="_Toc10265"/>
      <w:bookmarkStart w:id="11" w:name="_Toc20732"/>
      <w:r>
        <w:rPr>
          <w:rFonts w:hint="eastAsia" w:hAnsi="宋体" w:cs="宋体"/>
          <w:b/>
          <w:bCs/>
          <w:color w:val="000000"/>
          <w:w w:val="95"/>
          <w:sz w:val="32"/>
        </w:rPr>
        <w:t xml:space="preserve">日 </w:t>
      </w:r>
      <w:r>
        <w:rPr>
          <w:rFonts w:hAnsi="宋体" w:cs="宋体"/>
          <w:b/>
          <w:bCs/>
          <w:color w:val="000000"/>
          <w:w w:val="95"/>
          <w:sz w:val="32"/>
        </w:rPr>
        <w:t xml:space="preserve">       </w:t>
      </w:r>
      <w:r>
        <w:rPr>
          <w:rFonts w:hint="eastAsia" w:hAnsi="宋体" w:cs="宋体"/>
          <w:b/>
          <w:bCs/>
          <w:color w:val="000000"/>
          <w:w w:val="95"/>
          <w:sz w:val="32"/>
        </w:rPr>
        <w:t>期：二〇二四年四月</w:t>
      </w:r>
      <w:bookmarkEnd w:id="9"/>
      <w:bookmarkEnd w:id="10"/>
      <w:bookmarkEnd w:id="11"/>
    </w:p>
    <w:p>
      <w:pPr>
        <w:adjustRightInd w:val="0"/>
        <w:snapToGrid w:val="0"/>
        <w:spacing w:line="360" w:lineRule="auto"/>
        <w:rPr>
          <w:rFonts w:hAnsi="宋体" w:cs="宋体"/>
          <w:b/>
          <w:bCs/>
          <w:color w:val="000000"/>
          <w:w w:val="95"/>
          <w:sz w:val="32"/>
        </w:rPr>
        <w:sectPr>
          <w:headerReference r:id="rId3" w:type="default"/>
          <w:pgSz w:w="11906" w:h="16838"/>
          <w:pgMar w:top="1417" w:right="1418" w:bottom="1418" w:left="1587" w:header="1134" w:footer="1134" w:gutter="0"/>
          <w:cols w:space="720" w:num="1"/>
          <w:docGrid w:linePitch="312" w:charSpace="0"/>
        </w:sectPr>
      </w:pPr>
    </w:p>
    <w:p>
      <w:pPr>
        <w:adjustRightInd w:val="0"/>
        <w:snapToGrid w:val="0"/>
        <w:spacing w:line="360" w:lineRule="auto"/>
        <w:jc w:val="center"/>
      </w:pPr>
      <w:r>
        <w:rPr>
          <w:rFonts w:ascii="宋体" w:hAnsi="宋体"/>
          <w:b/>
          <w:bCs/>
          <w:sz w:val="28"/>
          <w:szCs w:val="28"/>
        </w:rPr>
        <w:t>目</w:t>
      </w:r>
      <w:r>
        <w:rPr>
          <w:rFonts w:hint="eastAsia" w:ascii="宋体" w:hAnsi="宋体"/>
          <w:b/>
          <w:bCs/>
          <w:sz w:val="28"/>
          <w:szCs w:val="28"/>
        </w:rPr>
        <w:t xml:space="preserve">  </w:t>
      </w:r>
      <w:r>
        <w:rPr>
          <w:rFonts w:ascii="宋体" w:hAnsi="宋体"/>
          <w:b/>
          <w:bCs/>
          <w:sz w:val="28"/>
          <w:szCs w:val="28"/>
        </w:rPr>
        <w:t>录</w:t>
      </w:r>
    </w:p>
    <w:p>
      <w:pPr>
        <w:pStyle w:val="167"/>
        <w:tabs>
          <w:tab w:val="right" w:leader="dot" w:pos="8901"/>
        </w:tabs>
        <w:adjustRightInd w:val="0"/>
        <w:snapToGrid w:val="0"/>
        <w:spacing w:line="360" w:lineRule="auto"/>
        <w:rPr>
          <w:rFonts w:ascii="宋体" w:hAnsi="宋体" w:cs="宋体"/>
          <w:b/>
          <w:sz w:val="21"/>
          <w:szCs w:val="21"/>
        </w:rPr>
      </w:pPr>
      <w:r>
        <w:rPr>
          <w:rFonts w:hint="eastAsia"/>
        </w:rPr>
        <w:fldChar w:fldCharType="begin"/>
      </w:r>
      <w:r>
        <w:rPr>
          <w:rFonts w:hint="eastAsia"/>
        </w:rPr>
        <w:instrText xml:space="preserve">TOC \o "1-2" \h \u </w:instrText>
      </w:r>
      <w:r>
        <w:rPr>
          <w:rFonts w:hint="eastAsia"/>
        </w:rPr>
        <w:fldChar w:fldCharType="separate"/>
      </w:r>
      <w:r>
        <w:fldChar w:fldCharType="begin"/>
      </w:r>
      <w:r>
        <w:instrText xml:space="preserve"> HYPERLINK \l "_Toc31101" </w:instrText>
      </w:r>
      <w:r>
        <w:fldChar w:fldCharType="separate"/>
      </w:r>
      <w:r>
        <w:rPr>
          <w:rFonts w:hint="eastAsia" w:ascii="宋体" w:hAnsi="宋体" w:cs="宋体"/>
          <w:b/>
          <w:kern w:val="44"/>
          <w:sz w:val="21"/>
          <w:szCs w:val="21"/>
        </w:rPr>
        <w:t>第一章  竞争性磋商公告</w:t>
      </w:r>
      <w:r>
        <w:rPr>
          <w:rFonts w:hint="eastAsia" w:ascii="宋体" w:hAnsi="宋体" w:cs="宋体"/>
          <w:b/>
          <w:sz w:val="21"/>
          <w:szCs w:val="21"/>
        </w:rPr>
        <w:tab/>
      </w:r>
      <w:r>
        <w:rPr>
          <w:rFonts w:hint="eastAsia" w:ascii="宋体" w:hAnsi="宋体" w:cs="宋体"/>
          <w:b/>
          <w:sz w:val="21"/>
          <w:szCs w:val="21"/>
        </w:rPr>
        <w:fldChar w:fldCharType="begin"/>
      </w:r>
      <w:r>
        <w:rPr>
          <w:rFonts w:hint="eastAsia" w:ascii="宋体" w:hAnsi="宋体" w:cs="宋体"/>
          <w:b/>
          <w:sz w:val="21"/>
          <w:szCs w:val="21"/>
        </w:rPr>
        <w:instrText xml:space="preserve"> PAGEREF _Toc31101 \h </w:instrText>
      </w:r>
      <w:r>
        <w:rPr>
          <w:rFonts w:hint="eastAsia" w:ascii="宋体" w:hAnsi="宋体" w:cs="宋体"/>
          <w:b/>
          <w:sz w:val="21"/>
          <w:szCs w:val="21"/>
        </w:rPr>
        <w:fldChar w:fldCharType="separate"/>
      </w:r>
      <w:r>
        <w:rPr>
          <w:rFonts w:hint="eastAsia" w:ascii="宋体" w:hAnsi="宋体" w:cs="宋体"/>
          <w:b/>
          <w:sz w:val="21"/>
          <w:szCs w:val="21"/>
        </w:rPr>
        <w:t>1</w:t>
      </w:r>
      <w:r>
        <w:rPr>
          <w:rFonts w:hint="eastAsia" w:ascii="宋体" w:hAnsi="宋体" w:cs="宋体"/>
          <w:b/>
          <w:sz w:val="21"/>
          <w:szCs w:val="21"/>
        </w:rPr>
        <w:fldChar w:fldCharType="end"/>
      </w:r>
      <w:r>
        <w:rPr>
          <w:rFonts w:hint="eastAsia" w:ascii="宋体" w:hAnsi="宋体" w:cs="宋体"/>
          <w:b/>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"_Toc21913" </w:instrText>
      </w:r>
      <w:r>
        <w:fldChar w:fldCharType="separate"/>
      </w:r>
      <w:r>
        <w:rPr>
          <w:rFonts w:hint="eastAsia" w:ascii="宋体" w:hAnsi="宋体" w:cs="宋体"/>
          <w:sz w:val="21"/>
          <w:szCs w:val="21"/>
        </w:rPr>
        <w:t>一、项目基本情况</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_Toc21913 \h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"_Toc22806" </w:instrText>
      </w:r>
      <w:r>
        <w:fldChar w:fldCharType="separate"/>
      </w:r>
      <w:r>
        <w:rPr>
          <w:rFonts w:hint="eastAsia" w:ascii="宋体" w:hAnsi="宋体" w:cs="宋体"/>
          <w:sz w:val="21"/>
          <w:szCs w:val="21"/>
        </w:rPr>
        <w:t>二、供应商的资格要求</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_Toc22806 \h </w:instrText>
      </w:r>
      <w:r>
        <w:rPr>
          <w:rFonts w:hint="eastAsia" w:ascii="宋体" w:hAnsi="宋体" w:cs="宋体"/>
          <w:sz w:val="21"/>
          <w:szCs w:val="21"/>
        </w:rPr>
        <w:fldChar w:fldCharType="separate"/>
      </w:r>
      <w:r>
        <w:rPr>
          <w:rFonts w:hint="eastAsia" w:ascii="宋体" w:hAnsi="宋体" w:cs="宋体"/>
          <w:sz w:val="21"/>
          <w:szCs w:val="21"/>
        </w:rPr>
        <w:t>1</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"_Toc11549" </w:instrText>
      </w:r>
      <w:r>
        <w:fldChar w:fldCharType="separate"/>
      </w:r>
      <w:r>
        <w:rPr>
          <w:rFonts w:hint="eastAsia" w:ascii="宋体" w:hAnsi="宋体" w:cs="宋体"/>
          <w:sz w:val="21"/>
          <w:szCs w:val="21"/>
        </w:rPr>
        <w:t>三、磋商文件的获取</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_Toc11549 \h </w:instrText>
      </w:r>
      <w:r>
        <w:rPr>
          <w:rFonts w:hint="eastAsia" w:ascii="宋体" w:hAnsi="宋体" w:cs="宋体"/>
          <w:sz w:val="21"/>
          <w:szCs w:val="21"/>
        </w:rPr>
        <w:fldChar w:fldCharType="separate"/>
      </w:r>
      <w:r>
        <w:rPr>
          <w:rFonts w:hint="eastAsia" w:ascii="宋体" w:hAnsi="宋体" w:cs="宋体"/>
          <w:sz w:val="21"/>
          <w:szCs w:val="21"/>
        </w:rPr>
        <w:t>2</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"_Toc25536" </w:instrText>
      </w:r>
      <w:r>
        <w:fldChar w:fldCharType="separate"/>
      </w:r>
      <w:r>
        <w:rPr>
          <w:rFonts w:hint="eastAsia" w:ascii="宋体" w:hAnsi="宋体" w:cs="宋体"/>
          <w:sz w:val="21"/>
          <w:szCs w:val="21"/>
        </w:rPr>
        <w:t>四、响应文件提交</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_Toc25536 \h </w:instrText>
      </w:r>
      <w:r>
        <w:rPr>
          <w:rFonts w:hint="eastAsia" w:ascii="宋体" w:hAnsi="宋体" w:cs="宋体"/>
          <w:sz w:val="21"/>
          <w:szCs w:val="21"/>
        </w:rPr>
        <w:fldChar w:fldCharType="separate"/>
      </w:r>
      <w:r>
        <w:rPr>
          <w:rFonts w:hint="eastAsia" w:ascii="宋体" w:hAnsi="宋体" w:cs="宋体"/>
          <w:sz w:val="21"/>
          <w:szCs w:val="21"/>
        </w:rPr>
        <w:t>3</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"_Toc32036" </w:instrText>
      </w:r>
      <w:r>
        <w:fldChar w:fldCharType="separate"/>
      </w:r>
      <w:r>
        <w:rPr>
          <w:rFonts w:hint="eastAsia" w:ascii="宋体" w:hAnsi="宋体" w:cs="宋体"/>
          <w:sz w:val="21"/>
          <w:szCs w:val="21"/>
        </w:rPr>
        <w:t>五、开启</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_Toc32036 \h </w:instrText>
      </w:r>
      <w:r>
        <w:rPr>
          <w:rFonts w:hint="eastAsia" w:ascii="宋体" w:hAnsi="宋体" w:cs="宋体"/>
          <w:sz w:val="21"/>
          <w:szCs w:val="21"/>
        </w:rPr>
        <w:fldChar w:fldCharType="separate"/>
      </w:r>
      <w:r>
        <w:rPr>
          <w:rFonts w:hint="eastAsia" w:ascii="宋体" w:hAnsi="宋体" w:cs="宋体"/>
          <w:sz w:val="21"/>
          <w:szCs w:val="21"/>
        </w:rPr>
        <w:t>3</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"_Toc14531" </w:instrText>
      </w:r>
      <w:r>
        <w:fldChar w:fldCharType="separate"/>
      </w:r>
      <w:r>
        <w:rPr>
          <w:rFonts w:hint="eastAsia" w:ascii="宋体" w:hAnsi="宋体" w:cs="宋体"/>
          <w:sz w:val="21"/>
          <w:szCs w:val="21"/>
        </w:rPr>
        <w:t>六、公告期限</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_Toc14531 \h </w:instrText>
      </w:r>
      <w:r>
        <w:rPr>
          <w:rFonts w:hint="eastAsia" w:ascii="宋体" w:hAnsi="宋体" w:cs="宋体"/>
          <w:sz w:val="21"/>
          <w:szCs w:val="21"/>
        </w:rPr>
        <w:fldChar w:fldCharType="separate"/>
      </w:r>
      <w:r>
        <w:rPr>
          <w:rFonts w:hint="eastAsia" w:ascii="宋体" w:hAnsi="宋体" w:cs="宋体"/>
          <w:sz w:val="21"/>
          <w:szCs w:val="21"/>
        </w:rPr>
        <w:t>3</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"_Toc19433" </w:instrText>
      </w:r>
      <w:r>
        <w:fldChar w:fldCharType="separate"/>
      </w:r>
      <w:r>
        <w:rPr>
          <w:rFonts w:hint="eastAsia" w:ascii="宋体" w:hAnsi="宋体" w:cs="宋体"/>
          <w:sz w:val="21"/>
          <w:szCs w:val="21"/>
        </w:rPr>
        <w:t>七、其它补充事宜</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_Toc19433 \h </w:instrText>
      </w:r>
      <w:r>
        <w:rPr>
          <w:rFonts w:hint="eastAsia" w:ascii="宋体" w:hAnsi="宋体" w:cs="宋体"/>
          <w:sz w:val="21"/>
          <w:szCs w:val="21"/>
        </w:rPr>
        <w:fldChar w:fldCharType="separate"/>
      </w:r>
      <w:r>
        <w:rPr>
          <w:rFonts w:hint="eastAsia" w:ascii="宋体" w:hAnsi="宋体" w:cs="宋体"/>
          <w:sz w:val="21"/>
          <w:szCs w:val="21"/>
        </w:rPr>
        <w:t>3</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"_Toc15713" </w:instrText>
      </w:r>
      <w:r>
        <w:fldChar w:fldCharType="separate"/>
      </w:r>
      <w:r>
        <w:rPr>
          <w:rFonts w:hint="eastAsia" w:ascii="宋体" w:hAnsi="宋体" w:cs="宋体"/>
          <w:sz w:val="21"/>
          <w:szCs w:val="21"/>
        </w:rPr>
        <w:t>八、凡对本次采购提出询问，请按以下方式联系</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_Toc15713 \h </w:instrText>
      </w:r>
      <w:r>
        <w:rPr>
          <w:rFonts w:hint="eastAsia" w:ascii="宋体" w:hAnsi="宋体" w:cs="宋体"/>
          <w:sz w:val="21"/>
          <w:szCs w:val="21"/>
        </w:rPr>
        <w:fldChar w:fldCharType="separate"/>
      </w:r>
      <w:r>
        <w:rPr>
          <w:rFonts w:hint="eastAsia" w:ascii="宋体" w:hAnsi="宋体" w:cs="宋体"/>
          <w:sz w:val="21"/>
          <w:szCs w:val="21"/>
        </w:rPr>
        <w:t>4</w:t>
      </w:r>
      <w:r>
        <w:rPr>
          <w:rFonts w:hint="eastAsia" w:ascii="宋体" w:hAnsi="宋体" w:cs="宋体"/>
          <w:sz w:val="21"/>
          <w:szCs w:val="21"/>
        </w:rPr>
        <w:fldChar w:fldCharType="end"/>
      </w:r>
      <w:r>
        <w:rPr>
          <w:rFonts w:hint="eastAsia" w:ascii="宋体" w:hAnsi="宋体" w:cs="宋体"/>
          <w:sz w:val="21"/>
          <w:szCs w:val="21"/>
        </w:rPr>
        <w:fldChar w:fldCharType="end"/>
      </w:r>
    </w:p>
    <w:p>
      <w:pPr>
        <w:pStyle w:val="167"/>
        <w:tabs>
          <w:tab w:val="right" w:leader="dot" w:pos="8901"/>
        </w:tabs>
        <w:adjustRightInd w:val="0"/>
        <w:snapToGrid w:val="0"/>
        <w:spacing w:line="360" w:lineRule="auto"/>
        <w:rPr>
          <w:rFonts w:ascii="宋体" w:hAnsi="宋体" w:cs="宋体"/>
          <w:b/>
          <w:sz w:val="21"/>
          <w:szCs w:val="21"/>
        </w:rPr>
      </w:pPr>
      <w:r>
        <w:fldChar w:fldCharType="begin"/>
      </w:r>
      <w:r>
        <w:instrText xml:space="preserve"> HYPERLINK \l "_Toc31517" </w:instrText>
      </w:r>
      <w:r>
        <w:fldChar w:fldCharType="separate"/>
      </w:r>
      <w:r>
        <w:rPr>
          <w:rFonts w:hint="eastAsia" w:ascii="宋体" w:hAnsi="宋体" w:cs="宋体"/>
          <w:b/>
          <w:kern w:val="44"/>
          <w:sz w:val="21"/>
          <w:szCs w:val="21"/>
        </w:rPr>
        <w:t>第二章  供应商须知</w:t>
      </w:r>
      <w:r>
        <w:rPr>
          <w:rFonts w:hint="eastAsia" w:ascii="宋体" w:hAnsi="宋体" w:cs="宋体"/>
          <w:b/>
          <w:sz w:val="21"/>
          <w:szCs w:val="21"/>
        </w:rPr>
        <w:tab/>
      </w:r>
      <w:r>
        <w:rPr>
          <w:rFonts w:hint="eastAsia" w:ascii="宋体" w:hAnsi="宋体" w:cs="宋体"/>
          <w:b/>
          <w:sz w:val="21"/>
          <w:szCs w:val="21"/>
        </w:rPr>
        <w:fldChar w:fldCharType="begin"/>
      </w:r>
      <w:r>
        <w:rPr>
          <w:rFonts w:hint="eastAsia" w:ascii="宋体" w:hAnsi="宋体" w:cs="宋体"/>
          <w:b/>
          <w:sz w:val="21"/>
          <w:szCs w:val="21"/>
        </w:rPr>
        <w:instrText xml:space="preserve"> PAGEREF _Toc31517 \h </w:instrText>
      </w:r>
      <w:r>
        <w:rPr>
          <w:rFonts w:hint="eastAsia" w:ascii="宋体" w:hAnsi="宋体" w:cs="宋体"/>
          <w:b/>
          <w:sz w:val="21"/>
          <w:szCs w:val="21"/>
        </w:rPr>
        <w:fldChar w:fldCharType="separate"/>
      </w:r>
      <w:r>
        <w:rPr>
          <w:rFonts w:hint="eastAsia" w:ascii="宋体" w:hAnsi="宋体" w:cs="宋体"/>
          <w:b/>
          <w:sz w:val="21"/>
          <w:szCs w:val="21"/>
        </w:rPr>
        <w:t>5</w:t>
      </w:r>
      <w:r>
        <w:rPr>
          <w:rFonts w:hint="eastAsia" w:ascii="宋体" w:hAnsi="宋体" w:cs="宋体"/>
          <w:b/>
          <w:sz w:val="21"/>
          <w:szCs w:val="21"/>
        </w:rPr>
        <w:fldChar w:fldCharType="end"/>
      </w:r>
      <w:r>
        <w:rPr>
          <w:rFonts w:hint="eastAsia" w:ascii="宋体" w:hAnsi="宋体" w:cs="宋体"/>
          <w:b/>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"_Toc22385" </w:instrText>
      </w:r>
      <w:r>
        <w:fldChar w:fldCharType="separate"/>
      </w:r>
      <w:r>
        <w:rPr>
          <w:rFonts w:hint="eastAsia" w:ascii="宋体" w:hAnsi="宋体" w:cs="宋体"/>
          <w:sz w:val="21"/>
          <w:szCs w:val="21"/>
        </w:rPr>
        <w:t>供应商须知前附表</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_Toc22385 \h </w:instrText>
      </w:r>
      <w:r>
        <w:rPr>
          <w:rFonts w:hint="eastAsia" w:ascii="宋体" w:hAnsi="宋体" w:cs="宋体"/>
          <w:sz w:val="21"/>
          <w:szCs w:val="21"/>
        </w:rPr>
        <w:fldChar w:fldCharType="separate"/>
      </w:r>
      <w:r>
        <w:rPr>
          <w:rFonts w:hint="eastAsia" w:ascii="宋体" w:hAnsi="宋体" w:cs="宋体"/>
          <w:sz w:val="21"/>
          <w:szCs w:val="21"/>
        </w:rPr>
        <w:t>5</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"_Toc24073" </w:instrText>
      </w:r>
      <w:r>
        <w:fldChar w:fldCharType="separate"/>
      </w:r>
      <w:r>
        <w:rPr>
          <w:rFonts w:hint="eastAsia" w:ascii="宋体" w:hAnsi="宋体" w:cs="宋体"/>
          <w:sz w:val="21"/>
          <w:szCs w:val="21"/>
        </w:rPr>
        <w:t>一、总  则</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_Toc24073 \h </w:instrText>
      </w:r>
      <w:r>
        <w:rPr>
          <w:rFonts w:hint="eastAsia" w:ascii="宋体" w:hAnsi="宋体" w:cs="宋体"/>
          <w:sz w:val="21"/>
          <w:szCs w:val="21"/>
        </w:rPr>
        <w:fldChar w:fldCharType="separate"/>
      </w:r>
      <w:r>
        <w:rPr>
          <w:rFonts w:hint="eastAsia" w:ascii="宋体" w:hAnsi="宋体" w:cs="宋体"/>
          <w:sz w:val="21"/>
          <w:szCs w:val="21"/>
        </w:rPr>
        <w:t>10</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"_Toc8950" </w:instrText>
      </w:r>
      <w:r>
        <w:fldChar w:fldCharType="separate"/>
      </w:r>
      <w:r>
        <w:rPr>
          <w:rFonts w:hint="eastAsia" w:ascii="宋体" w:hAnsi="宋体" w:cs="宋体"/>
          <w:sz w:val="21"/>
          <w:szCs w:val="21"/>
        </w:rPr>
        <w:t>二、磋商文件</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_Toc8950 \h </w:instrText>
      </w:r>
      <w:r>
        <w:rPr>
          <w:rFonts w:hint="eastAsia" w:ascii="宋体" w:hAnsi="宋体" w:cs="宋体"/>
          <w:sz w:val="21"/>
          <w:szCs w:val="21"/>
        </w:rPr>
        <w:fldChar w:fldCharType="separate"/>
      </w:r>
      <w:r>
        <w:rPr>
          <w:rFonts w:hint="eastAsia" w:ascii="宋体" w:hAnsi="宋体" w:cs="宋体"/>
          <w:sz w:val="21"/>
          <w:szCs w:val="21"/>
        </w:rPr>
        <w:t>11</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"_Toc1987" </w:instrText>
      </w:r>
      <w:r>
        <w:fldChar w:fldCharType="separate"/>
      </w:r>
      <w:r>
        <w:rPr>
          <w:rFonts w:hint="eastAsia" w:ascii="宋体" w:hAnsi="宋体" w:cs="宋体"/>
          <w:sz w:val="21"/>
          <w:szCs w:val="21"/>
        </w:rPr>
        <w:t>三、响应文件</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_Toc1987 \h </w:instrText>
      </w:r>
      <w:r>
        <w:rPr>
          <w:rFonts w:hint="eastAsia" w:ascii="宋体" w:hAnsi="宋体" w:cs="宋体"/>
          <w:sz w:val="21"/>
          <w:szCs w:val="21"/>
        </w:rPr>
        <w:fldChar w:fldCharType="separate"/>
      </w:r>
      <w:r>
        <w:rPr>
          <w:rFonts w:hint="eastAsia" w:ascii="宋体" w:hAnsi="宋体" w:cs="宋体"/>
          <w:sz w:val="21"/>
          <w:szCs w:val="21"/>
        </w:rPr>
        <w:t>11</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"_Toc17807" </w:instrText>
      </w:r>
      <w:r>
        <w:fldChar w:fldCharType="separate"/>
      </w:r>
      <w:r>
        <w:rPr>
          <w:rFonts w:hint="eastAsia" w:ascii="宋体" w:hAnsi="宋体" w:cs="宋体"/>
          <w:sz w:val="21"/>
          <w:szCs w:val="21"/>
        </w:rPr>
        <w:t>四、响应文件的提交</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_Toc17807 \h </w:instrText>
      </w:r>
      <w:r>
        <w:rPr>
          <w:rFonts w:hint="eastAsia" w:ascii="宋体" w:hAnsi="宋体" w:cs="宋体"/>
          <w:sz w:val="21"/>
          <w:szCs w:val="21"/>
        </w:rPr>
        <w:fldChar w:fldCharType="separate"/>
      </w:r>
      <w:r>
        <w:rPr>
          <w:rFonts w:hint="eastAsia" w:ascii="宋体" w:hAnsi="宋体" w:cs="宋体"/>
          <w:sz w:val="21"/>
          <w:szCs w:val="21"/>
        </w:rPr>
        <w:t>13</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"_Toc29384" </w:instrText>
      </w:r>
      <w:r>
        <w:fldChar w:fldCharType="separate"/>
      </w:r>
      <w:r>
        <w:rPr>
          <w:rFonts w:hint="eastAsia" w:ascii="宋体" w:hAnsi="宋体" w:cs="宋体"/>
          <w:sz w:val="21"/>
          <w:szCs w:val="21"/>
        </w:rPr>
        <w:t>五、磋商</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_Toc29384 \h </w:instrText>
      </w:r>
      <w:r>
        <w:rPr>
          <w:rFonts w:hint="eastAsia" w:ascii="宋体" w:hAnsi="宋体" w:cs="宋体"/>
          <w:sz w:val="21"/>
          <w:szCs w:val="21"/>
        </w:rPr>
        <w:fldChar w:fldCharType="separate"/>
      </w:r>
      <w:r>
        <w:rPr>
          <w:rFonts w:hint="eastAsia" w:ascii="宋体" w:hAnsi="宋体" w:cs="宋体"/>
          <w:sz w:val="21"/>
          <w:szCs w:val="21"/>
        </w:rPr>
        <w:t>13</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"_Toc30134" </w:instrText>
      </w:r>
      <w:r>
        <w:fldChar w:fldCharType="separate"/>
      </w:r>
      <w:r>
        <w:rPr>
          <w:rFonts w:hint="eastAsia" w:ascii="宋体" w:hAnsi="宋体" w:cs="宋体"/>
          <w:sz w:val="21"/>
          <w:szCs w:val="21"/>
        </w:rPr>
        <w:t>六、成交结果</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_Toc30134 \h </w:instrText>
      </w:r>
      <w:r>
        <w:rPr>
          <w:rFonts w:hint="eastAsia" w:ascii="宋体" w:hAnsi="宋体" w:cs="宋体"/>
          <w:sz w:val="21"/>
          <w:szCs w:val="21"/>
        </w:rPr>
        <w:fldChar w:fldCharType="separate"/>
      </w:r>
      <w:r>
        <w:rPr>
          <w:rFonts w:hint="eastAsia" w:ascii="宋体" w:hAnsi="宋体" w:cs="宋体"/>
          <w:sz w:val="21"/>
          <w:szCs w:val="21"/>
        </w:rPr>
        <w:t>14</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"_Toc20943" </w:instrText>
      </w:r>
      <w:r>
        <w:fldChar w:fldCharType="separate"/>
      </w:r>
      <w:r>
        <w:rPr>
          <w:rFonts w:hint="eastAsia" w:ascii="宋体" w:hAnsi="宋体" w:cs="宋体"/>
          <w:sz w:val="21"/>
          <w:szCs w:val="21"/>
        </w:rPr>
        <w:t>七、其他事项</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_Toc20943 \h </w:instrText>
      </w:r>
      <w:r>
        <w:rPr>
          <w:rFonts w:hint="eastAsia" w:ascii="宋体" w:hAnsi="宋体" w:cs="宋体"/>
          <w:sz w:val="21"/>
          <w:szCs w:val="21"/>
        </w:rPr>
        <w:fldChar w:fldCharType="separate"/>
      </w:r>
      <w:r>
        <w:rPr>
          <w:rFonts w:hint="eastAsia" w:ascii="宋体" w:hAnsi="宋体" w:cs="宋体"/>
          <w:sz w:val="21"/>
          <w:szCs w:val="21"/>
        </w:rPr>
        <w:t>15</w:t>
      </w:r>
      <w:r>
        <w:rPr>
          <w:rFonts w:hint="eastAsia" w:ascii="宋体" w:hAnsi="宋体" w:cs="宋体"/>
          <w:sz w:val="21"/>
          <w:szCs w:val="21"/>
        </w:rPr>
        <w:fldChar w:fldCharType="end"/>
      </w:r>
      <w:r>
        <w:rPr>
          <w:rFonts w:hint="eastAsia" w:ascii="宋体" w:hAnsi="宋体" w:cs="宋体"/>
          <w:sz w:val="21"/>
          <w:szCs w:val="21"/>
        </w:rPr>
        <w:fldChar w:fldCharType="end"/>
      </w:r>
    </w:p>
    <w:p>
      <w:pPr>
        <w:pStyle w:val="167"/>
        <w:tabs>
          <w:tab w:val="right" w:leader="dot" w:pos="8901"/>
        </w:tabs>
        <w:adjustRightInd w:val="0"/>
        <w:snapToGrid w:val="0"/>
        <w:spacing w:line="360" w:lineRule="auto"/>
        <w:rPr>
          <w:rFonts w:ascii="宋体" w:hAnsi="宋体" w:cs="宋体"/>
          <w:b/>
          <w:sz w:val="21"/>
          <w:szCs w:val="21"/>
        </w:rPr>
      </w:pPr>
      <w:r>
        <w:fldChar w:fldCharType="begin"/>
      </w:r>
      <w:r>
        <w:instrText xml:space="preserve"> HYPERLINK \l "_Toc16583" </w:instrText>
      </w:r>
      <w:r>
        <w:fldChar w:fldCharType="separate"/>
      </w:r>
      <w:r>
        <w:rPr>
          <w:rFonts w:hint="eastAsia" w:ascii="宋体" w:hAnsi="宋体" w:cs="宋体"/>
          <w:b/>
          <w:kern w:val="44"/>
          <w:sz w:val="21"/>
          <w:szCs w:val="21"/>
        </w:rPr>
        <w:t>第三章  合同书样式及主要条款</w:t>
      </w:r>
      <w:r>
        <w:rPr>
          <w:rFonts w:hint="eastAsia" w:ascii="宋体" w:hAnsi="宋体" w:cs="宋体"/>
          <w:b/>
          <w:sz w:val="21"/>
          <w:szCs w:val="21"/>
        </w:rPr>
        <w:tab/>
      </w:r>
      <w:r>
        <w:rPr>
          <w:rFonts w:hint="eastAsia" w:ascii="宋体" w:hAnsi="宋体" w:cs="宋体"/>
          <w:b/>
          <w:sz w:val="21"/>
          <w:szCs w:val="21"/>
        </w:rPr>
        <w:fldChar w:fldCharType="begin"/>
      </w:r>
      <w:r>
        <w:rPr>
          <w:rFonts w:hint="eastAsia" w:ascii="宋体" w:hAnsi="宋体" w:cs="宋体"/>
          <w:b/>
          <w:sz w:val="21"/>
          <w:szCs w:val="21"/>
        </w:rPr>
        <w:instrText xml:space="preserve"> PAGEREF _Toc16583 \h </w:instrText>
      </w:r>
      <w:r>
        <w:rPr>
          <w:rFonts w:hint="eastAsia" w:ascii="宋体" w:hAnsi="宋体" w:cs="宋体"/>
          <w:b/>
          <w:sz w:val="21"/>
          <w:szCs w:val="21"/>
        </w:rPr>
        <w:fldChar w:fldCharType="separate"/>
      </w:r>
      <w:r>
        <w:rPr>
          <w:rFonts w:hint="eastAsia" w:ascii="宋体" w:hAnsi="宋体" w:cs="宋体"/>
          <w:b/>
          <w:sz w:val="21"/>
          <w:szCs w:val="21"/>
        </w:rPr>
        <w:t>18</w:t>
      </w:r>
      <w:r>
        <w:rPr>
          <w:rFonts w:hint="eastAsia" w:ascii="宋体" w:hAnsi="宋体" w:cs="宋体"/>
          <w:b/>
          <w:sz w:val="21"/>
          <w:szCs w:val="21"/>
        </w:rPr>
        <w:fldChar w:fldCharType="end"/>
      </w:r>
      <w:r>
        <w:rPr>
          <w:rFonts w:hint="eastAsia" w:ascii="宋体" w:hAnsi="宋体" w:cs="宋体"/>
          <w:b/>
          <w:sz w:val="21"/>
          <w:szCs w:val="21"/>
        </w:rPr>
        <w:fldChar w:fldCharType="end"/>
      </w:r>
    </w:p>
    <w:p>
      <w:pPr>
        <w:pStyle w:val="167"/>
        <w:tabs>
          <w:tab w:val="right" w:leader="dot" w:pos="8901"/>
        </w:tabs>
        <w:adjustRightInd w:val="0"/>
        <w:snapToGrid w:val="0"/>
        <w:spacing w:line="360" w:lineRule="auto"/>
        <w:rPr>
          <w:rFonts w:ascii="宋体" w:hAnsi="宋体" w:cs="宋体"/>
          <w:b/>
          <w:sz w:val="21"/>
          <w:szCs w:val="21"/>
        </w:rPr>
      </w:pPr>
      <w:r>
        <w:fldChar w:fldCharType="begin"/>
      </w:r>
      <w:r>
        <w:instrText xml:space="preserve"> HYPERLINK \l "_Toc2265" </w:instrText>
      </w:r>
      <w:r>
        <w:fldChar w:fldCharType="separate"/>
      </w:r>
      <w:r>
        <w:rPr>
          <w:rFonts w:hint="eastAsia" w:ascii="宋体" w:hAnsi="宋体" w:cs="宋体"/>
          <w:b/>
          <w:kern w:val="44"/>
          <w:sz w:val="21"/>
          <w:szCs w:val="21"/>
        </w:rPr>
        <w:t>第四章  响应文件格式</w:t>
      </w:r>
      <w:r>
        <w:rPr>
          <w:rFonts w:hint="eastAsia" w:ascii="宋体" w:hAnsi="宋体" w:cs="宋体"/>
          <w:b/>
          <w:sz w:val="21"/>
          <w:szCs w:val="21"/>
        </w:rPr>
        <w:tab/>
      </w:r>
      <w:r>
        <w:rPr>
          <w:rFonts w:hint="eastAsia" w:ascii="宋体" w:hAnsi="宋体" w:cs="宋体"/>
          <w:b/>
          <w:sz w:val="21"/>
          <w:szCs w:val="21"/>
        </w:rPr>
        <w:fldChar w:fldCharType="begin"/>
      </w:r>
      <w:r>
        <w:rPr>
          <w:rFonts w:hint="eastAsia" w:ascii="宋体" w:hAnsi="宋体" w:cs="宋体"/>
          <w:b/>
          <w:sz w:val="21"/>
          <w:szCs w:val="21"/>
        </w:rPr>
        <w:instrText xml:space="preserve"> PAGEREF _Toc2265 \h </w:instrText>
      </w:r>
      <w:r>
        <w:rPr>
          <w:rFonts w:hint="eastAsia" w:ascii="宋体" w:hAnsi="宋体" w:cs="宋体"/>
          <w:b/>
          <w:sz w:val="21"/>
          <w:szCs w:val="21"/>
        </w:rPr>
        <w:fldChar w:fldCharType="separate"/>
      </w:r>
      <w:r>
        <w:rPr>
          <w:rFonts w:hint="eastAsia" w:ascii="宋体" w:hAnsi="宋体" w:cs="宋体"/>
          <w:b/>
          <w:sz w:val="21"/>
          <w:szCs w:val="21"/>
        </w:rPr>
        <w:t>23</w:t>
      </w:r>
      <w:r>
        <w:rPr>
          <w:rFonts w:hint="eastAsia" w:ascii="宋体" w:hAnsi="宋体" w:cs="宋体"/>
          <w:b/>
          <w:sz w:val="21"/>
          <w:szCs w:val="21"/>
        </w:rPr>
        <w:fldChar w:fldCharType="end"/>
      </w:r>
      <w:r>
        <w:rPr>
          <w:rFonts w:hint="eastAsia" w:ascii="宋体" w:hAnsi="宋体" w:cs="宋体"/>
          <w:b/>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"_Toc308" </w:instrText>
      </w:r>
      <w:r>
        <w:fldChar w:fldCharType="separate"/>
      </w:r>
      <w:r>
        <w:rPr>
          <w:rFonts w:hint="eastAsia" w:ascii="宋体" w:hAnsi="宋体" w:cs="宋体"/>
          <w:sz w:val="21"/>
          <w:szCs w:val="21"/>
        </w:rPr>
        <w:t>报价一览表</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_Toc308 \h </w:instrText>
      </w:r>
      <w:r>
        <w:rPr>
          <w:rFonts w:hint="eastAsia" w:ascii="宋体" w:hAnsi="宋体" w:cs="宋体"/>
          <w:sz w:val="21"/>
          <w:szCs w:val="21"/>
        </w:rPr>
        <w:fldChar w:fldCharType="separate"/>
      </w:r>
      <w:r>
        <w:rPr>
          <w:rFonts w:hint="eastAsia" w:ascii="宋体" w:hAnsi="宋体" w:cs="宋体"/>
          <w:sz w:val="21"/>
          <w:szCs w:val="21"/>
        </w:rPr>
        <w:t>24</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"_Toc20565" </w:instrText>
      </w:r>
      <w:r>
        <w:fldChar w:fldCharType="separate"/>
      </w:r>
      <w:r>
        <w:rPr>
          <w:rFonts w:hint="eastAsia" w:ascii="宋体" w:hAnsi="宋体" w:cs="宋体"/>
          <w:sz w:val="21"/>
          <w:szCs w:val="21"/>
        </w:rPr>
        <w:t>一、资格证明文件</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_Toc20565 \h </w:instrText>
      </w:r>
      <w:r>
        <w:rPr>
          <w:rFonts w:hint="eastAsia" w:ascii="宋体" w:hAnsi="宋体" w:cs="宋体"/>
          <w:sz w:val="21"/>
          <w:szCs w:val="21"/>
        </w:rPr>
        <w:fldChar w:fldCharType="separate"/>
      </w:r>
      <w:r>
        <w:rPr>
          <w:rFonts w:hint="eastAsia" w:ascii="宋体" w:hAnsi="宋体" w:cs="宋体"/>
          <w:sz w:val="21"/>
          <w:szCs w:val="21"/>
        </w:rPr>
        <w:t>25</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"_Toc16943" </w:instrText>
      </w:r>
      <w:r>
        <w:fldChar w:fldCharType="separate"/>
      </w:r>
      <w:r>
        <w:rPr>
          <w:rFonts w:hint="eastAsia" w:ascii="宋体" w:hAnsi="宋体" w:cs="宋体"/>
          <w:sz w:val="21"/>
          <w:szCs w:val="21"/>
        </w:rPr>
        <w:t>二、商务文件</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_Toc16943 \h </w:instrText>
      </w:r>
      <w:r>
        <w:rPr>
          <w:rFonts w:hint="eastAsia" w:ascii="宋体" w:hAnsi="宋体" w:cs="宋体"/>
          <w:sz w:val="21"/>
          <w:szCs w:val="21"/>
        </w:rPr>
        <w:fldChar w:fldCharType="separate"/>
      </w:r>
      <w:r>
        <w:rPr>
          <w:rFonts w:hint="eastAsia" w:ascii="宋体" w:hAnsi="宋体" w:cs="宋体"/>
          <w:sz w:val="21"/>
          <w:szCs w:val="21"/>
        </w:rPr>
        <w:t>33</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"_Toc14766" </w:instrText>
      </w:r>
      <w:r>
        <w:fldChar w:fldCharType="separate"/>
      </w:r>
      <w:r>
        <w:rPr>
          <w:rFonts w:hint="eastAsia" w:ascii="宋体" w:hAnsi="宋体" w:cs="宋体"/>
          <w:sz w:val="21"/>
          <w:szCs w:val="21"/>
        </w:rPr>
        <w:t>三、技术文件</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_Toc14766 \h </w:instrText>
      </w:r>
      <w:r>
        <w:rPr>
          <w:rFonts w:hint="eastAsia" w:ascii="宋体" w:hAnsi="宋体" w:cs="宋体"/>
          <w:sz w:val="21"/>
          <w:szCs w:val="21"/>
        </w:rPr>
        <w:fldChar w:fldCharType="separate"/>
      </w:r>
      <w:r>
        <w:rPr>
          <w:rFonts w:hint="eastAsia" w:ascii="宋体" w:hAnsi="宋体" w:cs="宋体"/>
          <w:sz w:val="21"/>
          <w:szCs w:val="21"/>
        </w:rPr>
        <w:t>45</w:t>
      </w:r>
      <w:r>
        <w:rPr>
          <w:rFonts w:hint="eastAsia" w:ascii="宋体" w:hAnsi="宋体" w:cs="宋体"/>
          <w:sz w:val="21"/>
          <w:szCs w:val="21"/>
        </w:rPr>
        <w:fldChar w:fldCharType="end"/>
      </w:r>
      <w:r>
        <w:rPr>
          <w:rFonts w:hint="eastAsia" w:ascii="宋体" w:hAnsi="宋体" w:cs="宋体"/>
          <w:sz w:val="21"/>
          <w:szCs w:val="21"/>
        </w:rPr>
        <w:fldChar w:fldCharType="end"/>
      </w:r>
    </w:p>
    <w:p>
      <w:pPr>
        <w:pStyle w:val="167"/>
        <w:tabs>
          <w:tab w:val="right" w:leader="dot" w:pos="8901"/>
        </w:tabs>
        <w:adjustRightInd w:val="0"/>
        <w:snapToGrid w:val="0"/>
        <w:spacing w:line="360" w:lineRule="auto"/>
        <w:rPr>
          <w:rFonts w:ascii="宋体" w:hAnsi="宋体" w:cs="宋体"/>
          <w:b/>
          <w:sz w:val="21"/>
          <w:szCs w:val="21"/>
        </w:rPr>
      </w:pPr>
      <w:r>
        <w:fldChar w:fldCharType="begin"/>
      </w:r>
      <w:r>
        <w:instrText xml:space="preserve"> HYPERLINK \l "_Toc17451" </w:instrText>
      </w:r>
      <w:r>
        <w:fldChar w:fldCharType="separate"/>
      </w:r>
      <w:r>
        <w:rPr>
          <w:rFonts w:hint="eastAsia" w:ascii="宋体" w:hAnsi="宋体" w:cs="宋体"/>
          <w:b/>
          <w:kern w:val="44"/>
          <w:sz w:val="21"/>
          <w:szCs w:val="21"/>
        </w:rPr>
        <w:t>第五章  采购需求</w:t>
      </w:r>
      <w:r>
        <w:rPr>
          <w:rFonts w:hint="eastAsia" w:ascii="宋体" w:hAnsi="宋体" w:cs="宋体"/>
          <w:b/>
          <w:sz w:val="21"/>
          <w:szCs w:val="21"/>
        </w:rPr>
        <w:tab/>
      </w:r>
      <w:r>
        <w:rPr>
          <w:rFonts w:hint="eastAsia" w:ascii="宋体" w:hAnsi="宋体" w:cs="宋体"/>
          <w:b/>
          <w:sz w:val="21"/>
          <w:szCs w:val="21"/>
        </w:rPr>
        <w:fldChar w:fldCharType="begin"/>
      </w:r>
      <w:r>
        <w:rPr>
          <w:rFonts w:hint="eastAsia" w:ascii="宋体" w:hAnsi="宋体" w:cs="宋体"/>
          <w:b/>
          <w:sz w:val="21"/>
          <w:szCs w:val="21"/>
        </w:rPr>
        <w:instrText xml:space="preserve"> PAGEREF _Toc17451 \h </w:instrText>
      </w:r>
      <w:r>
        <w:rPr>
          <w:rFonts w:hint="eastAsia" w:ascii="宋体" w:hAnsi="宋体" w:cs="宋体"/>
          <w:b/>
          <w:sz w:val="21"/>
          <w:szCs w:val="21"/>
        </w:rPr>
        <w:fldChar w:fldCharType="separate"/>
      </w:r>
      <w:r>
        <w:rPr>
          <w:rFonts w:hint="eastAsia" w:ascii="宋体" w:hAnsi="宋体" w:cs="宋体"/>
          <w:b/>
          <w:sz w:val="21"/>
          <w:szCs w:val="21"/>
        </w:rPr>
        <w:t>46</w:t>
      </w:r>
      <w:r>
        <w:rPr>
          <w:rFonts w:hint="eastAsia" w:ascii="宋体" w:hAnsi="宋体" w:cs="宋体"/>
          <w:b/>
          <w:sz w:val="21"/>
          <w:szCs w:val="21"/>
        </w:rPr>
        <w:fldChar w:fldCharType="end"/>
      </w:r>
      <w:r>
        <w:rPr>
          <w:rFonts w:hint="eastAsia" w:ascii="宋体" w:hAnsi="宋体" w:cs="宋体"/>
          <w:b/>
          <w:sz w:val="21"/>
          <w:szCs w:val="21"/>
        </w:rPr>
        <w:fldChar w:fldCharType="end"/>
      </w:r>
    </w:p>
    <w:p>
      <w:pPr>
        <w:pStyle w:val="167"/>
        <w:tabs>
          <w:tab w:val="right" w:leader="dot" w:pos="8901"/>
        </w:tabs>
        <w:adjustRightInd w:val="0"/>
        <w:snapToGrid w:val="0"/>
        <w:spacing w:line="360" w:lineRule="auto"/>
        <w:rPr>
          <w:rFonts w:ascii="宋体" w:hAnsi="宋体" w:cs="宋体"/>
          <w:b/>
          <w:sz w:val="21"/>
          <w:szCs w:val="21"/>
        </w:rPr>
      </w:pPr>
      <w:r>
        <w:fldChar w:fldCharType="begin"/>
      </w:r>
      <w:r>
        <w:instrText xml:space="preserve"> HYPERLINK \l "_Toc5628" </w:instrText>
      </w:r>
      <w:r>
        <w:fldChar w:fldCharType="separate"/>
      </w:r>
      <w:r>
        <w:rPr>
          <w:rFonts w:hint="eastAsia" w:ascii="宋体" w:hAnsi="宋体" w:cs="宋体"/>
          <w:b/>
          <w:kern w:val="44"/>
          <w:sz w:val="21"/>
          <w:szCs w:val="21"/>
        </w:rPr>
        <w:t>第六章 磋商程序和方法</w:t>
      </w:r>
      <w:r>
        <w:rPr>
          <w:rFonts w:hint="eastAsia" w:ascii="宋体" w:hAnsi="宋体" w:cs="宋体"/>
          <w:b/>
          <w:sz w:val="21"/>
          <w:szCs w:val="21"/>
        </w:rPr>
        <w:tab/>
      </w:r>
      <w:r>
        <w:rPr>
          <w:rFonts w:hint="eastAsia" w:ascii="宋体" w:hAnsi="宋体" w:cs="宋体"/>
          <w:b/>
          <w:sz w:val="21"/>
          <w:szCs w:val="21"/>
        </w:rPr>
        <w:fldChar w:fldCharType="begin"/>
      </w:r>
      <w:r>
        <w:rPr>
          <w:rFonts w:hint="eastAsia" w:ascii="宋体" w:hAnsi="宋体" w:cs="宋体"/>
          <w:b/>
          <w:sz w:val="21"/>
          <w:szCs w:val="21"/>
        </w:rPr>
        <w:instrText xml:space="preserve"> PAGEREF _Toc5628 \h </w:instrText>
      </w:r>
      <w:r>
        <w:rPr>
          <w:rFonts w:hint="eastAsia" w:ascii="宋体" w:hAnsi="宋体" w:cs="宋体"/>
          <w:b/>
          <w:sz w:val="21"/>
          <w:szCs w:val="21"/>
        </w:rPr>
        <w:fldChar w:fldCharType="separate"/>
      </w:r>
      <w:r>
        <w:rPr>
          <w:rFonts w:hint="eastAsia" w:ascii="宋体" w:hAnsi="宋体" w:cs="宋体"/>
          <w:b/>
          <w:sz w:val="21"/>
          <w:szCs w:val="21"/>
        </w:rPr>
        <w:t>48</w:t>
      </w:r>
      <w:r>
        <w:rPr>
          <w:rFonts w:hint="eastAsia" w:ascii="宋体" w:hAnsi="宋体" w:cs="宋体"/>
          <w:b/>
          <w:sz w:val="21"/>
          <w:szCs w:val="21"/>
        </w:rPr>
        <w:fldChar w:fldCharType="end"/>
      </w:r>
      <w:r>
        <w:rPr>
          <w:rFonts w:hint="eastAsia" w:ascii="宋体" w:hAnsi="宋体" w:cs="宋体"/>
          <w:b/>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"_Toc14151" </w:instrText>
      </w:r>
      <w:r>
        <w:fldChar w:fldCharType="separate"/>
      </w:r>
      <w:r>
        <w:rPr>
          <w:rFonts w:hint="eastAsia" w:ascii="宋体" w:hAnsi="宋体" w:cs="宋体"/>
          <w:sz w:val="21"/>
          <w:szCs w:val="21"/>
        </w:rPr>
        <w:t>磋商方法前附表</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_Toc14151 \h </w:instrText>
      </w:r>
      <w:r>
        <w:rPr>
          <w:rFonts w:hint="eastAsia" w:ascii="宋体" w:hAnsi="宋体" w:cs="宋体"/>
          <w:sz w:val="21"/>
          <w:szCs w:val="21"/>
        </w:rPr>
        <w:fldChar w:fldCharType="separate"/>
      </w:r>
      <w:r>
        <w:rPr>
          <w:rFonts w:hint="eastAsia" w:ascii="宋体" w:hAnsi="宋体" w:cs="宋体"/>
          <w:sz w:val="21"/>
          <w:szCs w:val="21"/>
        </w:rPr>
        <w:t>48</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"_Toc18655" </w:instrText>
      </w:r>
      <w:r>
        <w:fldChar w:fldCharType="separate"/>
      </w:r>
      <w:r>
        <w:rPr>
          <w:rFonts w:hint="eastAsia" w:ascii="宋体" w:hAnsi="宋体" w:cs="宋体"/>
          <w:sz w:val="21"/>
          <w:szCs w:val="21"/>
        </w:rPr>
        <w:t>一、磋商方法</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_Toc18655 \h </w:instrText>
      </w:r>
      <w:r>
        <w:rPr>
          <w:rFonts w:hint="eastAsia" w:ascii="宋体" w:hAnsi="宋体" w:cs="宋体"/>
          <w:sz w:val="21"/>
          <w:szCs w:val="21"/>
        </w:rPr>
        <w:fldChar w:fldCharType="separate"/>
      </w:r>
      <w:r>
        <w:rPr>
          <w:rFonts w:hint="eastAsia" w:ascii="宋体" w:hAnsi="宋体" w:cs="宋体"/>
          <w:sz w:val="21"/>
          <w:szCs w:val="21"/>
        </w:rPr>
        <w:t>53</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rPr>
          <w:rFonts w:ascii="宋体" w:hAnsi="宋体" w:cs="宋体"/>
          <w:sz w:val="21"/>
          <w:szCs w:val="21"/>
        </w:rPr>
      </w:pPr>
      <w:r>
        <w:fldChar w:fldCharType="begin"/>
      </w:r>
      <w:r>
        <w:instrText xml:space="preserve"> HYPERLINK \l "_Toc12383" </w:instrText>
      </w:r>
      <w:r>
        <w:fldChar w:fldCharType="separate"/>
      </w:r>
      <w:r>
        <w:rPr>
          <w:rFonts w:hint="eastAsia" w:ascii="宋体" w:hAnsi="宋体" w:cs="宋体"/>
          <w:sz w:val="21"/>
          <w:szCs w:val="21"/>
        </w:rPr>
        <w:t>二、评审标准</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_Toc12383 \h </w:instrText>
      </w:r>
      <w:r>
        <w:rPr>
          <w:rFonts w:hint="eastAsia" w:ascii="宋体" w:hAnsi="宋体" w:cs="宋体"/>
          <w:sz w:val="21"/>
          <w:szCs w:val="21"/>
        </w:rPr>
        <w:fldChar w:fldCharType="separate"/>
      </w:r>
      <w:r>
        <w:rPr>
          <w:rFonts w:hint="eastAsia" w:ascii="宋体" w:hAnsi="宋体" w:cs="宋体"/>
          <w:sz w:val="21"/>
          <w:szCs w:val="21"/>
        </w:rPr>
        <w:t>53</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pPr>
      <w:r>
        <w:fldChar w:fldCharType="begin"/>
      </w:r>
      <w:r>
        <w:instrText xml:space="preserve"> HYPERLINK \l "_Toc28403" </w:instrText>
      </w:r>
      <w:r>
        <w:fldChar w:fldCharType="separate"/>
      </w:r>
      <w:r>
        <w:rPr>
          <w:rFonts w:hint="eastAsia" w:ascii="宋体" w:hAnsi="宋体" w:cs="宋体"/>
          <w:sz w:val="21"/>
          <w:szCs w:val="21"/>
        </w:rPr>
        <w:t>三、磋商程序</w:t>
      </w:r>
      <w:r>
        <w:rPr>
          <w:rFonts w:hint="eastAsia" w:ascii="宋体" w:hAnsi="宋体" w:cs="宋体"/>
          <w:sz w:val="21"/>
          <w:szCs w:val="21"/>
        </w:rPr>
        <w:tab/>
      </w:r>
      <w:r>
        <w:rPr>
          <w:rFonts w:hint="eastAsia" w:ascii="宋体" w:hAnsi="宋体" w:cs="宋体"/>
          <w:sz w:val="21"/>
          <w:szCs w:val="21"/>
        </w:rPr>
        <w:fldChar w:fldCharType="begin"/>
      </w:r>
      <w:r>
        <w:rPr>
          <w:rFonts w:hint="eastAsia" w:ascii="宋体" w:hAnsi="宋体" w:cs="宋体"/>
          <w:sz w:val="21"/>
          <w:szCs w:val="21"/>
        </w:rPr>
        <w:instrText xml:space="preserve"> PAGEREF _Toc28403 \h </w:instrText>
      </w:r>
      <w:r>
        <w:rPr>
          <w:rFonts w:hint="eastAsia" w:ascii="宋体" w:hAnsi="宋体" w:cs="宋体"/>
          <w:sz w:val="21"/>
          <w:szCs w:val="21"/>
        </w:rPr>
        <w:fldChar w:fldCharType="separate"/>
      </w:r>
      <w:r>
        <w:rPr>
          <w:rFonts w:hint="eastAsia" w:ascii="宋体" w:hAnsi="宋体" w:cs="宋体"/>
          <w:sz w:val="21"/>
          <w:szCs w:val="21"/>
        </w:rPr>
        <w:t>53</w:t>
      </w:r>
      <w:r>
        <w:rPr>
          <w:rFonts w:hint="eastAsia" w:ascii="宋体" w:hAnsi="宋体" w:cs="宋体"/>
          <w:sz w:val="21"/>
          <w:szCs w:val="21"/>
        </w:rPr>
        <w:fldChar w:fldCharType="end"/>
      </w:r>
      <w:r>
        <w:rPr>
          <w:rFonts w:hint="eastAsia" w:ascii="宋体" w:hAnsi="宋体" w:cs="宋体"/>
          <w:sz w:val="21"/>
          <w:szCs w:val="21"/>
        </w:rPr>
        <w:fldChar w:fldCharType="end"/>
      </w:r>
    </w:p>
    <w:p>
      <w:pPr>
        <w:pStyle w:val="168"/>
        <w:tabs>
          <w:tab w:val="right" w:leader="dot" w:pos="8901"/>
        </w:tabs>
        <w:adjustRightInd w:val="0"/>
        <w:snapToGrid w:val="0"/>
        <w:spacing w:line="360" w:lineRule="auto"/>
        <w:ind w:leftChars="0" w:firstLine="400" w:firstLineChars="200"/>
      </w:pPr>
      <w:r>
        <w:fldChar w:fldCharType="begin"/>
      </w:r>
      <w:r>
        <w:instrText xml:space="preserve"> HYPERLINK \l "_Toc13871" </w:instrText>
      </w:r>
      <w:r>
        <w:fldChar w:fldCharType="separate"/>
      </w:r>
      <w:r>
        <w:rPr>
          <w:rFonts w:hint="eastAsia" w:ascii="宋体" w:hAnsi="宋体" w:cs="宋体"/>
          <w:szCs w:val="30"/>
        </w:rPr>
        <w:t>四、其它</w:t>
      </w:r>
      <w:r>
        <w:tab/>
      </w:r>
      <w:r>
        <w:fldChar w:fldCharType="begin"/>
      </w:r>
      <w:r>
        <w:instrText xml:space="preserve"> PAGEREF _Toc13871 \h </w:instrText>
      </w:r>
      <w:r>
        <w:fldChar w:fldCharType="separate"/>
      </w:r>
      <w:r>
        <w:t>55</w:t>
      </w:r>
      <w:r>
        <w:fldChar w:fldCharType="end"/>
      </w:r>
      <w:r>
        <w:fldChar w:fldCharType="end"/>
      </w:r>
    </w:p>
    <w:p>
      <w:pPr>
        <w:adjustRightInd w:val="0"/>
        <w:snapToGrid w:val="0"/>
        <w:spacing w:line="360" w:lineRule="auto"/>
      </w:pPr>
      <w:r>
        <w:rPr>
          <w:rFonts w:hint="eastAsia"/>
          <w:b/>
        </w:rPr>
        <w:fldChar w:fldCharType="end"/>
      </w:r>
    </w:p>
    <w:p>
      <w:pPr>
        <w:pStyle w:val="16"/>
        <w:adjustRightInd w:val="0"/>
        <w:snapToGrid w:val="0"/>
        <w:spacing w:line="360" w:lineRule="auto"/>
        <w:ind w:firstLine="0" w:firstLineChars="0"/>
        <w:jc w:val="center"/>
        <w:rPr>
          <w:rFonts w:ascii="宋体" w:hAnsi="宋体" w:eastAsia="宋体" w:cs="宋体"/>
          <w:b/>
          <w:color w:val="000000"/>
          <w:kern w:val="44"/>
          <w:sz w:val="36"/>
          <w:szCs w:val="20"/>
        </w:rPr>
        <w:sectPr>
          <w:pgSz w:w="11906" w:h="16838"/>
          <w:pgMar w:top="1417" w:right="1418" w:bottom="1418" w:left="1587" w:header="1134" w:footer="1134" w:gutter="0"/>
          <w:cols w:space="720" w:num="1"/>
          <w:docGrid w:linePitch="312" w:charSpace="0"/>
        </w:sectPr>
      </w:pPr>
    </w:p>
    <w:p>
      <w:pPr>
        <w:pStyle w:val="3"/>
        <w:snapToGrid w:val="0"/>
        <w:spacing w:line="360" w:lineRule="auto"/>
        <w:jc w:val="center"/>
      </w:pPr>
      <w:bookmarkStart w:id="12" w:name="_Toc9472"/>
      <w:bookmarkStart w:id="13" w:name="_Toc10581"/>
      <w:bookmarkStart w:id="14" w:name="_Toc3956"/>
      <w:bookmarkStart w:id="15" w:name="_Toc470096296"/>
      <w:bookmarkStart w:id="16" w:name="_Toc31101"/>
      <w:bookmarkStart w:id="17" w:name="_Toc34335266"/>
      <w:r>
        <w:rPr>
          <w:rFonts w:hint="eastAsia"/>
        </w:rPr>
        <w:t>第一章  竞争性磋商公告</w:t>
      </w:r>
      <w:bookmarkEnd w:id="12"/>
      <w:bookmarkEnd w:id="13"/>
      <w:bookmarkEnd w:id="14"/>
      <w:bookmarkEnd w:id="15"/>
      <w:bookmarkEnd w:id="16"/>
      <w:bookmarkEnd w:id="17"/>
    </w:p>
    <w:p>
      <w:pPr>
        <w:pBdr>
          <w:top w:val="single" w:color="auto" w:sz="4" w:space="1"/>
          <w:left w:val="single" w:color="auto" w:sz="4" w:space="4"/>
          <w:bottom w:val="single" w:color="auto" w:sz="4" w:space="1"/>
          <w:right w:val="single" w:color="auto" w:sz="4" w:space="4"/>
        </w:pBdr>
        <w:adjustRightInd w:val="0"/>
        <w:snapToGrid w:val="0"/>
        <w:spacing w:line="360" w:lineRule="auto"/>
        <w:rPr>
          <w:rFonts w:ascii="宋体" w:hAnsi="宋体" w:cs="宋体"/>
          <w:b/>
          <w:color w:val="000000"/>
          <w:szCs w:val="21"/>
        </w:rPr>
      </w:pPr>
      <w:bookmarkStart w:id="18" w:name="_Toc86124033"/>
      <w:bookmarkStart w:id="19" w:name="_Toc432194819"/>
      <w:bookmarkStart w:id="20" w:name="_Toc432106468"/>
      <w:bookmarkStart w:id="21" w:name="OLE_LINK1"/>
      <w:r>
        <w:rPr>
          <w:rFonts w:hint="eastAsia" w:ascii="宋体" w:hAnsi="宋体" w:cs="宋体"/>
          <w:b/>
          <w:color w:val="000000"/>
          <w:szCs w:val="21"/>
        </w:rPr>
        <w:t>项目概况</w:t>
      </w:r>
    </w:p>
    <w:p>
      <w:pPr>
        <w:pBdr>
          <w:top w:val="single" w:color="auto" w:sz="4" w:space="1"/>
          <w:left w:val="single" w:color="auto" w:sz="4" w:space="4"/>
          <w:bottom w:val="single" w:color="auto" w:sz="4" w:space="1"/>
          <w:right w:val="single" w:color="auto" w:sz="4" w:space="4"/>
        </w:pBdr>
        <w:wordWrap w:val="0"/>
        <w:adjustRightInd w:val="0"/>
        <w:snapToGrid w:val="0"/>
        <w:spacing w:line="360" w:lineRule="auto"/>
        <w:ind w:firstLine="422" w:firstLineChars="200"/>
        <w:rPr>
          <w:rFonts w:ascii="宋体" w:hAnsi="宋体" w:cs="宋体"/>
          <w:color w:val="000000"/>
          <w:szCs w:val="21"/>
        </w:rPr>
      </w:pPr>
      <w:r>
        <w:rPr>
          <w:rFonts w:hint="eastAsia" w:ascii="宋体" w:hAnsi="宋体" w:cs="宋体"/>
          <w:b/>
          <w:bCs/>
          <w:color w:val="000000"/>
          <w:szCs w:val="21"/>
          <w:u w:val="single"/>
        </w:rPr>
        <w:t>云南省生态环境监测中心云南省土壤环境信息化管理平台运维项目</w:t>
      </w:r>
      <w:r>
        <w:rPr>
          <w:rFonts w:hint="eastAsia" w:ascii="宋体" w:hAnsi="宋体" w:cs="宋体"/>
          <w:color w:val="000000"/>
          <w:szCs w:val="21"/>
        </w:rPr>
        <w:t>的潜在供应商应在政采云平台（https://www.zcygov.cn/）线上（下载）</w:t>
      </w:r>
      <w:r>
        <w:fldChar w:fldCharType="begin"/>
      </w:r>
      <w:r>
        <w:instrText xml:space="preserve"> HYPERLINK "http://www.zyzx-yn.com/）获取采购文件，并于2023年" </w:instrText>
      </w:r>
      <w:r>
        <w:fldChar w:fldCharType="separate"/>
      </w:r>
      <w:r>
        <w:rPr>
          <w:rFonts w:hint="eastAsia" w:ascii="宋体" w:hAnsi="宋体" w:cs="宋体"/>
          <w:color w:val="000000"/>
          <w:szCs w:val="21"/>
        </w:rPr>
        <w:t>获取竞争性磋商文件，并于2024年</w:t>
      </w:r>
      <w:r>
        <w:rPr>
          <w:rFonts w:hint="eastAsia" w:ascii="宋体" w:hAnsi="宋体" w:cs="宋体"/>
          <w:color w:val="000000"/>
          <w:szCs w:val="21"/>
        </w:rPr>
        <w:fldChar w:fldCharType="end"/>
      </w:r>
      <w:r>
        <w:rPr>
          <w:rFonts w:hint="eastAsia" w:ascii="宋体" w:hAnsi="宋体" w:cs="宋体"/>
          <w:color w:val="000000"/>
          <w:szCs w:val="21"/>
        </w:rPr>
        <w:t xml:space="preserve"> 月  日  点  分</w:t>
      </w:r>
      <w:r>
        <w:rPr>
          <w:rFonts w:hint="eastAsia" w:ascii="宋体" w:hAnsi="宋体" w:cs="宋体"/>
          <w:bCs/>
          <w:color w:val="000000"/>
          <w:szCs w:val="21"/>
        </w:rPr>
        <w:t>（北京时间）前提交响应文件</w:t>
      </w:r>
      <w:r>
        <w:rPr>
          <w:rFonts w:hint="eastAsia" w:ascii="宋体" w:hAnsi="宋体" w:cs="宋体"/>
          <w:color w:val="000000"/>
          <w:szCs w:val="21"/>
        </w:rPr>
        <w:t>。</w:t>
      </w:r>
    </w:p>
    <w:bookmarkEnd w:id="18"/>
    <w:bookmarkEnd w:id="19"/>
    <w:bookmarkEnd w:id="20"/>
    <w:p>
      <w:pPr>
        <w:pStyle w:val="4"/>
        <w:keepLines w:val="0"/>
        <w:tabs>
          <w:tab w:val="left" w:pos="420"/>
          <w:tab w:val="left" w:pos="6090"/>
        </w:tabs>
        <w:adjustRightInd w:val="0"/>
        <w:snapToGrid w:val="0"/>
        <w:spacing w:before="0" w:after="0"/>
        <w:jc w:val="both"/>
        <w:textAlignment w:val="baseline"/>
        <w:rPr>
          <w:rFonts w:ascii="宋体" w:hAnsi="宋体" w:cs="宋体"/>
          <w:bCs w:val="0"/>
          <w:color w:val="000000"/>
          <w:szCs w:val="28"/>
        </w:rPr>
      </w:pPr>
      <w:bookmarkStart w:id="22" w:name="_Toc470096298"/>
      <w:bookmarkStart w:id="23" w:name="_Toc432194820"/>
      <w:bookmarkStart w:id="24" w:name="_Toc34335268"/>
      <w:bookmarkStart w:id="25" w:name="_Toc432106469"/>
      <w:bookmarkStart w:id="26" w:name="_Toc895"/>
      <w:bookmarkStart w:id="27" w:name="_Toc5584"/>
      <w:bookmarkStart w:id="28" w:name="_Toc22053"/>
      <w:bookmarkStart w:id="29" w:name="_Toc6906"/>
      <w:bookmarkStart w:id="30" w:name="_Toc21913"/>
      <w:r>
        <w:rPr>
          <w:rFonts w:hint="eastAsia" w:ascii="宋体" w:hAnsi="宋体" w:cs="宋体"/>
          <w:bCs w:val="0"/>
          <w:color w:val="000000"/>
          <w:szCs w:val="28"/>
        </w:rPr>
        <w:t>一、</w:t>
      </w:r>
      <w:bookmarkEnd w:id="22"/>
      <w:bookmarkEnd w:id="23"/>
      <w:bookmarkEnd w:id="24"/>
      <w:bookmarkEnd w:id="25"/>
      <w:r>
        <w:rPr>
          <w:rFonts w:hint="eastAsia" w:ascii="宋体" w:hAnsi="宋体" w:cs="宋体"/>
          <w:bCs w:val="0"/>
          <w:color w:val="000000"/>
          <w:szCs w:val="28"/>
        </w:rPr>
        <w:t>项目基本情况</w:t>
      </w:r>
      <w:bookmarkEnd w:id="26"/>
      <w:bookmarkEnd w:id="27"/>
      <w:bookmarkEnd w:id="28"/>
      <w:bookmarkEnd w:id="29"/>
      <w:bookmarkEnd w:id="30"/>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1.项目编号： 。</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2.项目名称：云南省生态环境监测中心云南省土壤环境信息化管理平台运维项目。</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3.采购方式：竞争性磋商。</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4.预算金额：人民币50万元</w:t>
      </w:r>
      <w:r>
        <w:rPr>
          <w:rFonts w:ascii="宋体" w:hAnsi="宋体" w:cs="宋体"/>
          <w:color w:val="000000"/>
          <w:szCs w:val="21"/>
        </w:rPr>
        <w:t>。</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5.最高限价：人民币50万元。</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6.采购需求：</w:t>
      </w:r>
    </w:p>
    <w:tbl>
      <w:tblPr>
        <w:tblStyle w:val="41"/>
        <w:tblW w:w="9499" w:type="dxa"/>
        <w:tblInd w:w="-5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043"/>
        <w:gridCol w:w="795"/>
        <w:gridCol w:w="1080"/>
        <w:gridCol w:w="2940"/>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12"/>
              <w:spacing w:before="120" w:line="400" w:lineRule="exact"/>
              <w:ind w:firstLine="0" w:firstLineChars="0"/>
              <w:jc w:val="center"/>
              <w:rPr>
                <w:rFonts w:hAnsi="宋体" w:cs="宋体"/>
                <w:color w:val="000000"/>
                <w:szCs w:val="21"/>
              </w:rPr>
            </w:pPr>
            <w:r>
              <w:rPr>
                <w:rFonts w:hint="eastAsia" w:hAnsi="宋体" w:cs="宋体"/>
                <w:color w:val="000000"/>
                <w:szCs w:val="21"/>
              </w:rPr>
              <w:t>序号</w:t>
            </w:r>
          </w:p>
        </w:tc>
        <w:tc>
          <w:tcPr>
            <w:tcW w:w="2043" w:type="dxa"/>
            <w:vAlign w:val="center"/>
          </w:tcPr>
          <w:p>
            <w:pPr>
              <w:pStyle w:val="12"/>
              <w:spacing w:before="120" w:line="400" w:lineRule="exact"/>
              <w:ind w:firstLine="0" w:firstLineChars="0"/>
              <w:jc w:val="center"/>
              <w:rPr>
                <w:rFonts w:hAnsi="宋体" w:cs="宋体"/>
                <w:color w:val="000000"/>
                <w:szCs w:val="21"/>
              </w:rPr>
            </w:pPr>
            <w:r>
              <w:rPr>
                <w:rFonts w:hint="eastAsia" w:hAnsi="宋体" w:cs="宋体"/>
                <w:color w:val="000000"/>
                <w:szCs w:val="21"/>
              </w:rPr>
              <w:t>采购内容</w:t>
            </w:r>
          </w:p>
        </w:tc>
        <w:tc>
          <w:tcPr>
            <w:tcW w:w="795" w:type="dxa"/>
            <w:vAlign w:val="center"/>
          </w:tcPr>
          <w:p>
            <w:pPr>
              <w:pStyle w:val="12"/>
              <w:spacing w:before="120" w:line="400" w:lineRule="exact"/>
              <w:ind w:firstLine="0" w:firstLineChars="0"/>
              <w:jc w:val="center"/>
              <w:rPr>
                <w:rFonts w:hAnsi="宋体" w:cs="宋体"/>
                <w:color w:val="000000"/>
                <w:szCs w:val="21"/>
              </w:rPr>
            </w:pPr>
            <w:r>
              <w:rPr>
                <w:rFonts w:hint="eastAsia" w:hAnsi="宋体" w:cs="宋体"/>
                <w:color w:val="000000"/>
                <w:szCs w:val="21"/>
              </w:rPr>
              <w:t>数量</w:t>
            </w:r>
          </w:p>
        </w:tc>
        <w:tc>
          <w:tcPr>
            <w:tcW w:w="1080" w:type="dxa"/>
            <w:vAlign w:val="center"/>
          </w:tcPr>
          <w:p>
            <w:pPr>
              <w:pStyle w:val="12"/>
              <w:spacing w:before="120" w:line="400" w:lineRule="exact"/>
              <w:ind w:firstLine="0" w:firstLineChars="0"/>
              <w:jc w:val="center"/>
              <w:rPr>
                <w:rFonts w:hAnsi="宋体" w:cs="宋体"/>
                <w:color w:val="000000"/>
                <w:szCs w:val="21"/>
              </w:rPr>
            </w:pPr>
            <w:r>
              <w:rPr>
                <w:rFonts w:hint="eastAsia" w:hAnsi="宋体" w:cs="宋体"/>
                <w:color w:val="000000"/>
                <w:szCs w:val="21"/>
              </w:rPr>
              <w:t>计量单位</w:t>
            </w:r>
          </w:p>
        </w:tc>
        <w:tc>
          <w:tcPr>
            <w:tcW w:w="2940" w:type="dxa"/>
            <w:vAlign w:val="center"/>
          </w:tcPr>
          <w:p>
            <w:pPr>
              <w:pStyle w:val="12"/>
              <w:spacing w:before="120" w:line="400" w:lineRule="exact"/>
              <w:ind w:firstLine="0" w:firstLineChars="0"/>
              <w:jc w:val="center"/>
              <w:rPr>
                <w:rFonts w:hAnsi="宋体" w:cs="宋体"/>
                <w:color w:val="000000"/>
                <w:szCs w:val="21"/>
              </w:rPr>
            </w:pPr>
            <w:r>
              <w:rPr>
                <w:rFonts w:hint="eastAsia" w:hAnsi="宋体" w:cs="宋体"/>
                <w:color w:val="000000"/>
                <w:szCs w:val="21"/>
              </w:rPr>
              <w:t>技术要求</w:t>
            </w:r>
          </w:p>
        </w:tc>
        <w:tc>
          <w:tcPr>
            <w:tcW w:w="1920" w:type="dxa"/>
            <w:vAlign w:val="center"/>
          </w:tcPr>
          <w:p>
            <w:pPr>
              <w:pStyle w:val="12"/>
              <w:spacing w:before="120" w:line="400" w:lineRule="exact"/>
              <w:ind w:firstLine="0" w:firstLineChars="0"/>
              <w:jc w:val="center"/>
              <w:rPr>
                <w:rFonts w:hAnsi="宋体" w:cs="宋体"/>
                <w:color w:val="000000"/>
                <w:szCs w:val="21"/>
              </w:rPr>
            </w:pPr>
            <w:r>
              <w:rPr>
                <w:rFonts w:hint="eastAsia" w:hAnsi="宋体" w:cs="宋体"/>
                <w:color w:val="000000"/>
                <w:szCs w:val="21"/>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1" w:type="dxa"/>
            <w:vAlign w:val="center"/>
          </w:tcPr>
          <w:p>
            <w:pPr>
              <w:pStyle w:val="12"/>
              <w:spacing w:before="120" w:line="400" w:lineRule="exact"/>
              <w:ind w:firstLine="0" w:firstLineChars="0"/>
              <w:jc w:val="center"/>
              <w:rPr>
                <w:rFonts w:hAnsi="宋体" w:cs="宋体"/>
                <w:color w:val="000000"/>
                <w:szCs w:val="21"/>
              </w:rPr>
            </w:pPr>
            <w:r>
              <w:rPr>
                <w:rFonts w:hint="eastAsia" w:hAnsi="宋体" w:cs="宋体"/>
                <w:color w:val="000000"/>
                <w:szCs w:val="21"/>
              </w:rPr>
              <w:t>1</w:t>
            </w:r>
          </w:p>
        </w:tc>
        <w:tc>
          <w:tcPr>
            <w:tcW w:w="2043" w:type="dxa"/>
            <w:vAlign w:val="center"/>
          </w:tcPr>
          <w:p>
            <w:pPr>
              <w:pStyle w:val="12"/>
              <w:spacing w:before="120" w:line="400" w:lineRule="exact"/>
              <w:ind w:firstLine="0" w:firstLineChars="0"/>
              <w:jc w:val="center"/>
              <w:rPr>
                <w:rFonts w:hAnsi="宋体" w:cs="宋体"/>
                <w:color w:val="000000"/>
                <w:szCs w:val="21"/>
              </w:rPr>
            </w:pPr>
            <w:r>
              <w:rPr>
                <w:rFonts w:hAnsi="宋体" w:cs="宋体"/>
                <w:color w:val="000000"/>
                <w:szCs w:val="21"/>
              </w:rPr>
              <w:t>云南省土壤环境信息化管理</w:t>
            </w:r>
            <w:r>
              <w:rPr>
                <w:rFonts w:hint="eastAsia" w:hAnsi="宋体" w:cs="宋体"/>
                <w:color w:val="000000"/>
                <w:szCs w:val="21"/>
              </w:rPr>
              <w:t>平台</w:t>
            </w:r>
            <w:r>
              <w:rPr>
                <w:rFonts w:hAnsi="宋体" w:cs="宋体"/>
                <w:color w:val="000000"/>
                <w:szCs w:val="21"/>
              </w:rPr>
              <w:t>运维</w:t>
            </w:r>
          </w:p>
        </w:tc>
        <w:tc>
          <w:tcPr>
            <w:tcW w:w="795" w:type="dxa"/>
            <w:vAlign w:val="center"/>
          </w:tcPr>
          <w:p>
            <w:pPr>
              <w:pStyle w:val="12"/>
              <w:spacing w:before="120" w:line="400" w:lineRule="exact"/>
              <w:ind w:firstLine="0" w:firstLineChars="0"/>
              <w:jc w:val="center"/>
              <w:rPr>
                <w:rFonts w:hAnsi="宋体" w:cs="宋体"/>
                <w:color w:val="000000"/>
                <w:szCs w:val="21"/>
              </w:rPr>
            </w:pPr>
            <w:r>
              <w:rPr>
                <w:rFonts w:hint="eastAsia" w:hAnsi="宋体" w:cs="宋体"/>
                <w:color w:val="000000"/>
                <w:szCs w:val="21"/>
              </w:rPr>
              <w:t>1</w:t>
            </w:r>
          </w:p>
        </w:tc>
        <w:tc>
          <w:tcPr>
            <w:tcW w:w="1080" w:type="dxa"/>
            <w:vAlign w:val="center"/>
          </w:tcPr>
          <w:p>
            <w:pPr>
              <w:pStyle w:val="12"/>
              <w:spacing w:before="120" w:line="400" w:lineRule="exact"/>
              <w:ind w:firstLine="0" w:firstLineChars="0"/>
              <w:jc w:val="center"/>
              <w:rPr>
                <w:rFonts w:hAnsi="宋体" w:cs="宋体"/>
                <w:color w:val="000000"/>
                <w:szCs w:val="21"/>
              </w:rPr>
            </w:pPr>
            <w:r>
              <w:rPr>
                <w:rFonts w:hint="eastAsia" w:hAnsi="宋体" w:cs="宋体"/>
                <w:color w:val="000000"/>
                <w:szCs w:val="21"/>
              </w:rPr>
              <w:t>项</w:t>
            </w:r>
          </w:p>
        </w:tc>
        <w:tc>
          <w:tcPr>
            <w:tcW w:w="2940" w:type="dxa"/>
            <w:vAlign w:val="center"/>
          </w:tcPr>
          <w:p>
            <w:pPr>
              <w:spacing w:line="400" w:lineRule="exact"/>
              <w:jc w:val="center"/>
              <w:rPr>
                <w:rFonts w:ascii="宋体" w:hAnsi="宋体" w:cs="宋体"/>
                <w:color w:val="000000"/>
                <w:szCs w:val="21"/>
              </w:rPr>
            </w:pPr>
            <w:r>
              <w:rPr>
                <w:rFonts w:hint="eastAsia" w:ascii="宋体" w:hAnsi="宋体" w:cs="宋体"/>
                <w:color w:val="000000"/>
                <w:szCs w:val="21"/>
              </w:rPr>
              <w:t>1.现有设备及软件系统运维。2.日常管理任务。3.配合开展相关系统维护。</w:t>
            </w:r>
          </w:p>
        </w:tc>
        <w:tc>
          <w:tcPr>
            <w:tcW w:w="1920" w:type="dxa"/>
            <w:vAlign w:val="center"/>
          </w:tcPr>
          <w:p>
            <w:pPr>
              <w:pStyle w:val="12"/>
              <w:spacing w:before="120" w:line="400" w:lineRule="exact"/>
              <w:ind w:firstLine="0" w:firstLineChars="0"/>
              <w:jc w:val="center"/>
              <w:rPr>
                <w:rFonts w:hAnsi="宋体" w:cs="宋体"/>
                <w:color w:val="000000"/>
                <w:szCs w:val="21"/>
              </w:rPr>
            </w:pPr>
            <w:r>
              <w:rPr>
                <w:rFonts w:hint="eastAsia" w:hAnsi="宋体" w:cs="宋体"/>
                <w:color w:val="000000"/>
                <w:szCs w:val="21"/>
              </w:rPr>
              <w:t>云南省生态环境监测中心（具体由采购人指定）</w:t>
            </w:r>
          </w:p>
        </w:tc>
      </w:tr>
    </w:tbl>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7.服务标准：按照采购人要求完成采购内容的工作。</w:t>
      </w:r>
    </w:p>
    <w:p>
      <w:pPr>
        <w:pStyle w:val="76"/>
        <w:adjustRightInd w:val="0"/>
        <w:snapToGrid w:val="0"/>
        <w:spacing w:line="360" w:lineRule="auto"/>
      </w:pPr>
      <w:r>
        <w:rPr>
          <w:rFonts w:hint="eastAsia" w:ascii="宋体" w:hAnsi="宋体" w:cs="宋体"/>
          <w:color w:val="000000"/>
          <w:szCs w:val="21"/>
        </w:rPr>
        <w:t>8.服务地点：云南省生态环境监测中心（具体由采购人指定）。</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9.合同履行期限：签订合同之日起至2024年12月31日。</w:t>
      </w:r>
    </w:p>
    <w:p>
      <w:pPr>
        <w:adjustRightInd w:val="0"/>
        <w:snapToGrid w:val="0"/>
        <w:spacing w:line="360" w:lineRule="auto"/>
        <w:ind w:firstLine="420" w:firstLineChars="200"/>
        <w:rPr>
          <w:rFonts w:ascii="宋体" w:hAnsi="宋体" w:cs="宋体"/>
          <w:color w:val="000000"/>
          <w:szCs w:val="21"/>
        </w:rPr>
      </w:pPr>
      <w:bookmarkStart w:id="31" w:name="_Toc432106470"/>
      <w:bookmarkStart w:id="32" w:name="_Toc470096299"/>
      <w:bookmarkStart w:id="33" w:name="_Toc86124035"/>
      <w:bookmarkStart w:id="34" w:name="_Toc34335269"/>
      <w:bookmarkStart w:id="35" w:name="_Toc432194821"/>
      <w:r>
        <w:rPr>
          <w:rFonts w:hint="eastAsia" w:ascii="宋体" w:hAnsi="宋体" w:cs="宋体"/>
          <w:color w:val="000000"/>
          <w:szCs w:val="21"/>
        </w:rPr>
        <w:t>10.本项目</w:t>
      </w:r>
      <w:r>
        <w:rPr>
          <w:rFonts w:hint="eastAsia" w:ascii="宋体" w:hAnsi="宋体" w:cs="宋体"/>
          <w:b/>
          <w:color w:val="000000"/>
          <w:szCs w:val="21"/>
          <w:u w:val="single"/>
        </w:rPr>
        <w:t>不接受</w:t>
      </w:r>
      <w:r>
        <w:rPr>
          <w:rFonts w:hint="eastAsia" w:ascii="宋体" w:hAnsi="宋体" w:cs="宋体"/>
          <w:color w:val="000000"/>
          <w:szCs w:val="21"/>
        </w:rPr>
        <w:t>联合体参与磋商。</w:t>
      </w:r>
    </w:p>
    <w:p>
      <w:pPr>
        <w:pStyle w:val="4"/>
        <w:adjustRightInd w:val="0"/>
        <w:snapToGrid w:val="0"/>
        <w:spacing w:before="0" w:after="0"/>
        <w:jc w:val="left"/>
      </w:pPr>
      <w:bookmarkStart w:id="36" w:name="_Toc5458"/>
      <w:bookmarkStart w:id="37" w:name="_Toc23881"/>
      <w:bookmarkStart w:id="38" w:name="_Toc6063"/>
      <w:bookmarkStart w:id="39" w:name="_Toc22806"/>
      <w:bookmarkStart w:id="40" w:name="_Toc21544"/>
      <w:r>
        <w:rPr>
          <w:rFonts w:hint="eastAsia"/>
        </w:rPr>
        <w:t>二、供应商的资格要求</w:t>
      </w:r>
      <w:bookmarkEnd w:id="31"/>
      <w:bookmarkEnd w:id="32"/>
      <w:bookmarkEnd w:id="33"/>
      <w:bookmarkEnd w:id="34"/>
      <w:bookmarkEnd w:id="35"/>
      <w:bookmarkEnd w:id="36"/>
      <w:bookmarkEnd w:id="37"/>
      <w:bookmarkEnd w:id="38"/>
      <w:bookmarkEnd w:id="39"/>
      <w:bookmarkEnd w:id="40"/>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1.满足《中华人民共和国政府采购法》第二十二条规定：</w:t>
      </w:r>
    </w:p>
    <w:p>
      <w:pPr>
        <w:tabs>
          <w:tab w:val="left" w:pos="720"/>
          <w:tab w:val="left" w:pos="8295"/>
        </w:tabs>
        <w:adjustRightInd w:val="0"/>
        <w:snapToGrid w:val="0"/>
        <w:spacing w:line="360" w:lineRule="auto"/>
        <w:ind w:firstLine="420" w:firstLineChars="200"/>
        <w:jc w:val="left"/>
        <w:rPr>
          <w:rFonts w:ascii="宋体" w:hAnsi="宋体" w:cs="宋体"/>
          <w:b/>
          <w:bCs/>
          <w:color w:val="000000"/>
          <w:szCs w:val="21"/>
        </w:rPr>
      </w:pPr>
      <w:r>
        <w:rPr>
          <w:rFonts w:hint="eastAsia" w:ascii="宋体" w:hAnsi="宋体" w:cs="宋体"/>
          <w:color w:val="000000"/>
          <w:szCs w:val="21"/>
        </w:rPr>
        <w:t>1.1</w:t>
      </w:r>
      <w:r>
        <w:rPr>
          <w:rFonts w:hint="eastAsia" w:ascii="宋体" w:hAnsi="宋体" w:cs="宋体"/>
          <w:b/>
          <w:bCs/>
          <w:color w:val="000000"/>
          <w:szCs w:val="21"/>
        </w:rPr>
        <w:t>具有独立承担民事责任的能力：</w:t>
      </w:r>
      <w:r>
        <w:rPr>
          <w:rFonts w:hint="eastAsia" w:ascii="宋体" w:hAnsi="宋体" w:cs="宋体"/>
          <w:color w:val="000000"/>
          <w:szCs w:val="21"/>
        </w:rPr>
        <w:t>供应商须具有独立承担民事责任的能力，在中华人民共和国境内登记或注册，供应商为法人、其他组织或者自然人。</w:t>
      </w:r>
      <w:r>
        <w:rPr>
          <w:rFonts w:hint="eastAsia" w:ascii="宋体" w:hAnsi="宋体" w:cs="宋体"/>
          <w:b/>
          <w:bCs/>
          <w:color w:val="000000"/>
          <w:szCs w:val="21"/>
        </w:rPr>
        <w:t>（提供市场监督管理部门核发的有效的多证合一营业执照或民办非企业登记证书或社会团体登记证或自然人身份证明，提供原件扫描件）</w:t>
      </w:r>
    </w:p>
    <w:p>
      <w:pPr>
        <w:adjustRightInd w:val="0"/>
        <w:snapToGrid w:val="0"/>
        <w:spacing w:line="360" w:lineRule="auto"/>
        <w:ind w:firstLine="420" w:firstLineChars="200"/>
        <w:rPr>
          <w:rFonts w:ascii="宋体" w:hAnsi="宋体" w:cs="宋体"/>
          <w:b/>
          <w:bCs/>
          <w:color w:val="000000"/>
          <w:szCs w:val="21"/>
        </w:rPr>
      </w:pPr>
      <w:r>
        <w:rPr>
          <w:rFonts w:hint="eastAsia" w:ascii="宋体" w:hAnsi="宋体" w:cs="宋体"/>
          <w:color w:val="000000"/>
          <w:szCs w:val="21"/>
        </w:rPr>
        <w:t>1.2</w:t>
      </w:r>
      <w:r>
        <w:rPr>
          <w:rFonts w:hint="eastAsia" w:ascii="宋体" w:hAnsi="宋体" w:cs="宋体"/>
          <w:b/>
          <w:bCs/>
          <w:color w:val="000000"/>
          <w:szCs w:val="21"/>
        </w:rPr>
        <w:t>具有良好的商业信誉和健全的财务会计制度：</w:t>
      </w:r>
    </w:p>
    <w:p>
      <w:pPr>
        <w:adjustRightInd w:val="0"/>
        <w:snapToGrid w:val="0"/>
        <w:spacing w:line="360" w:lineRule="auto"/>
        <w:ind w:firstLine="409" w:firstLineChars="195"/>
        <w:rPr>
          <w:rFonts w:ascii="宋体" w:hAnsi="宋体" w:cs="宋体"/>
          <w:color w:val="000000"/>
          <w:szCs w:val="21"/>
        </w:rPr>
      </w:pPr>
      <w:r>
        <w:rPr>
          <w:rFonts w:hint="eastAsia" w:ascii="宋体" w:hAnsi="宋体" w:cs="宋体"/>
          <w:color w:val="000000"/>
          <w:szCs w:val="21"/>
        </w:rPr>
        <w:t>1.2.1根据《财政部关于在政府采购活动中查询及使用信用记录有关问题的通知-财库〔2016〕125号》相关要求，对被“信用中国”网站（www.creditchina.gov.cn）列入失信被执行人、重大税收违法失信主体、政府采购严重违法失信行为记录名单、国家企业信用信息公示系统（http://www.gsxt.gov.cn/）严重违法失信名单及中国政府采购网（www.ccgp.gov.cn）“政府采购严重违法失信行为信息记录”其中之一的供应商拒绝其参与本次政府采购活动。（查询结果以采购人或采购代理机构查询结果为准，采购人或采购代理机构在响应文件提交截止时间前将通过“信用中国”网站(www.creditchina.gov.cn)、国家企业信用信息公示系统（http://www.gsxt.gov.cn/）、中国政府采购网（www.ccgp.gov.cn）查询供应商信用记录，上述网站信用信息查询结果的网页截图或网页打印稿作为证据留存。（此部分不需要供应商提供证明材料）</w:t>
      </w:r>
      <w:r>
        <w:rPr>
          <w:rFonts w:hint="eastAsia" w:ascii="宋体" w:hAnsi="宋体" w:cs="宋体"/>
          <w:b/>
        </w:rPr>
        <w:t>（此部分不需要供应商提供证明材料）</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1.2.2供应商须提供2021年至2023年任意一年经第三方审计的财务报告及报表（报表至少应包括资产负债表、利润表（损益表）、现金流量表）(注：2023年成立的供应商提供情况说明即可，格式自拟)；或可提供自响应文件提交截止时间前十二个月内开户银行出具的资信证明或可提供财政部门认可的政府采购专业担保机构对供应商进行资信审查后出具的投标担保函。（备注：供应商可根据自身情况提供上述任意一种证明材料)。（提供原件扫描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注：根据《关于加强审计报告查验工作的通知》（财会〔2023〕15号）规定，在2022年10月以后出具的审计报告应赋予全国统一的验证码；供应商若为事业单位的，则不需提供利润表/损益表；供应商是其他组织的，提供自响应文件提交截止时间前三个月内开户银行出具的资信证明】。</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1.3</w:t>
      </w:r>
      <w:r>
        <w:rPr>
          <w:rFonts w:hint="eastAsia" w:ascii="宋体" w:hAnsi="宋体" w:cs="宋体"/>
          <w:b/>
          <w:bCs/>
          <w:color w:val="000000"/>
          <w:szCs w:val="21"/>
        </w:rPr>
        <w:t>具有履行合同所必需的设备和专业技术能力：</w:t>
      </w:r>
      <w:r>
        <w:rPr>
          <w:rFonts w:hint="eastAsia" w:ascii="宋体" w:hAnsi="宋体" w:cs="宋体"/>
          <w:color w:val="000000"/>
          <w:szCs w:val="21"/>
        </w:rPr>
        <w:t>供应商须提供具有履行合同所必需的设备和专业技术能力证明材料或承诺书。</w:t>
      </w:r>
      <w:r>
        <w:rPr>
          <w:rFonts w:hint="eastAsia" w:ascii="宋体" w:hAnsi="宋体" w:cs="宋体"/>
          <w:b/>
          <w:bCs/>
        </w:rPr>
        <w:t>（提供证明材料扫描件或承诺书原件扫描件）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1.4</w:t>
      </w:r>
      <w:r>
        <w:rPr>
          <w:rFonts w:hint="eastAsia" w:ascii="宋体" w:hAnsi="宋体" w:cs="宋体"/>
          <w:b/>
          <w:bCs/>
          <w:color w:val="000000"/>
          <w:szCs w:val="21"/>
        </w:rPr>
        <w:t>有依法缴纳税收和社会保障资金的良好记录：</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1.4.1供应商须提供缴税所属时间在2023年1月至今任意3个月的税务局税收通用缴款书或银行电子缴税（费）凭证或税务局出具纳税情况的相关证明</w:t>
      </w:r>
      <w:r>
        <w:rPr>
          <w:rFonts w:hint="eastAsia" w:ascii="宋体" w:hAnsi="宋体" w:cs="宋体"/>
          <w:kern w:val="0"/>
          <w:szCs w:val="21"/>
        </w:rPr>
        <w:t>；依法免税的，应提供依法免税的相关证明文件</w:t>
      </w:r>
      <w:r>
        <w:rPr>
          <w:rFonts w:hint="eastAsia" w:ascii="宋体" w:hAnsi="宋体" w:cs="宋体"/>
          <w:szCs w:val="21"/>
        </w:rPr>
        <w:t>；若公司成立不足3</w:t>
      </w:r>
      <w:r>
        <w:rPr>
          <w:rFonts w:ascii="宋体" w:hAnsi="宋体" w:cs="宋体"/>
          <w:szCs w:val="21"/>
        </w:rPr>
        <w:t>个月的，提供相关内容情况说明或证明材料。</w:t>
      </w:r>
      <w:r>
        <w:rPr>
          <w:rFonts w:hint="eastAsia" w:ascii="宋体" w:hAnsi="宋体" w:cs="宋体"/>
          <w:b/>
          <w:bCs/>
        </w:rPr>
        <w:t>（提供扫描件）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1.4.2供应商须提供缴费所属时间在2023年1月至今任意3个月的社会保险费缴款书或银行电子缴税（费）凭证或社保管理部门出具的有效的缴款证明</w:t>
      </w:r>
      <w:r>
        <w:rPr>
          <w:rFonts w:hint="eastAsia" w:ascii="宋体" w:hAnsi="宋体" w:cs="宋体"/>
          <w:kern w:val="0"/>
          <w:szCs w:val="21"/>
        </w:rPr>
        <w:t>；依法免缴的，应提供依法免缴的相关证明文件</w:t>
      </w:r>
      <w:r>
        <w:rPr>
          <w:rFonts w:hint="eastAsia" w:ascii="宋体" w:hAnsi="宋体" w:cs="宋体"/>
          <w:szCs w:val="21"/>
        </w:rPr>
        <w:t>；若公司成立不足3</w:t>
      </w:r>
      <w:r>
        <w:rPr>
          <w:rFonts w:ascii="宋体" w:hAnsi="宋体" w:cs="宋体"/>
          <w:szCs w:val="21"/>
        </w:rPr>
        <w:t>个月的，提供相关内容情况说明或证明材料。</w:t>
      </w:r>
      <w:r>
        <w:rPr>
          <w:rFonts w:hint="eastAsia" w:ascii="宋体" w:hAnsi="宋体" w:cs="宋体"/>
          <w:b/>
          <w:bCs/>
        </w:rPr>
        <w:t>（提供扫描件）</w:t>
      </w:r>
    </w:p>
    <w:p>
      <w:pPr>
        <w:adjustRightInd w:val="0"/>
        <w:snapToGrid w:val="0"/>
        <w:spacing w:line="360" w:lineRule="auto"/>
        <w:ind w:firstLine="420" w:firstLineChars="200"/>
        <w:rPr>
          <w:rFonts w:ascii="宋体" w:hAnsi="宋体" w:cs="宋体"/>
          <w:b/>
          <w:bCs/>
          <w:color w:val="000000"/>
          <w:szCs w:val="21"/>
        </w:rPr>
      </w:pPr>
      <w:r>
        <w:rPr>
          <w:rFonts w:hint="eastAsia" w:ascii="宋体" w:hAnsi="宋体" w:cs="宋体"/>
          <w:color w:val="000000"/>
          <w:szCs w:val="21"/>
        </w:rPr>
        <w:t>1.5参加政府采购活动前三年内（2021年1月至今），在经营活动中没有重大违法记录（重大违法记录，是指供应商因违法经营受到刑事处罚或者责令停产停业、吊销许可证或者执照、较大数额罚款等行政处罚、未处于财产被接管、冻结、破产状况）。</w:t>
      </w:r>
      <w:r>
        <w:rPr>
          <w:rFonts w:hint="eastAsia" w:ascii="宋体" w:hAnsi="宋体" w:cs="宋体"/>
          <w:b/>
          <w:bCs/>
          <w:color w:val="000000"/>
          <w:szCs w:val="21"/>
        </w:rPr>
        <w:t>（提供承诺书并加盖电子签章或盖章）</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1.6法律、行政法规规定的其他条件：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1.6.1法定代表人或单位负责人为同一人或者存在直接控股、管理关系的不同供应商，不得同时参加本项目的投标；</w:t>
      </w:r>
      <w:r>
        <w:rPr>
          <w:rFonts w:hint="eastAsia" w:ascii="宋体" w:hAnsi="宋体" w:cs="宋体"/>
          <w:b/>
          <w:bCs/>
          <w:color w:val="000000"/>
          <w:szCs w:val="21"/>
        </w:rPr>
        <w:t>（提供承诺书并加盖电子签章或盖章）</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1.6.2为本项目提供整体设计、规范编制或者项目管理、监理、检测等服务的供应商不得参与本项目磋商。</w:t>
      </w:r>
      <w:r>
        <w:rPr>
          <w:rFonts w:hint="eastAsia" w:ascii="宋体" w:hAnsi="宋体" w:cs="宋体"/>
          <w:b/>
          <w:bCs/>
          <w:color w:val="000000"/>
          <w:szCs w:val="21"/>
        </w:rPr>
        <w:t>（提供承诺书并加盖电子签章或盖章）</w:t>
      </w:r>
    </w:p>
    <w:p>
      <w:pPr>
        <w:numPr>
          <w:ilvl w:val="0"/>
          <w:numId w:val="6"/>
        </w:numPr>
        <w:adjustRightInd w:val="0"/>
        <w:snapToGrid w:val="0"/>
        <w:spacing w:line="360" w:lineRule="auto"/>
        <w:ind w:firstLine="420" w:firstLineChars="200"/>
        <w:rPr>
          <w:rFonts w:ascii="宋体" w:hAnsi="宋体" w:cs="宋体"/>
          <w:szCs w:val="21"/>
        </w:rPr>
      </w:pPr>
      <w:r>
        <w:rPr>
          <w:rFonts w:hint="eastAsia" w:ascii="宋体" w:hAnsi="宋体" w:cs="宋体"/>
          <w:color w:val="000000"/>
          <w:szCs w:val="21"/>
        </w:rPr>
        <w:t>落实政府采购政策需满足的资格要求：本项目属于面向中小企业采购的项目。</w:t>
      </w:r>
    </w:p>
    <w:p>
      <w:pPr>
        <w:numPr>
          <w:ilvl w:val="0"/>
          <w:numId w:val="6"/>
        </w:numPr>
        <w:tabs>
          <w:tab w:val="left" w:pos="5505"/>
        </w:tabs>
        <w:adjustRightInd w:val="0"/>
        <w:snapToGrid w:val="0"/>
        <w:spacing w:line="360" w:lineRule="auto"/>
        <w:ind w:firstLine="420" w:firstLineChars="200"/>
        <w:rPr>
          <w:rFonts w:ascii="宋体" w:hAnsi="宋体" w:cs="宋体"/>
          <w:szCs w:val="21"/>
        </w:rPr>
      </w:pPr>
      <w:r>
        <w:rPr>
          <w:rFonts w:hint="eastAsia" w:ascii="宋体" w:hAnsi="宋体" w:cs="宋体"/>
          <w:szCs w:val="21"/>
        </w:rPr>
        <w:t>本项目的特定资格要求：无。</w:t>
      </w:r>
    </w:p>
    <w:p>
      <w:pPr>
        <w:pStyle w:val="4"/>
        <w:adjustRightInd w:val="0"/>
        <w:snapToGrid w:val="0"/>
        <w:spacing w:before="0" w:after="0"/>
        <w:jc w:val="left"/>
      </w:pPr>
      <w:bookmarkStart w:id="41" w:name="_Toc17013"/>
      <w:bookmarkStart w:id="42" w:name="_Toc34335270"/>
      <w:bookmarkStart w:id="43" w:name="_Toc14160"/>
      <w:bookmarkStart w:id="44" w:name="_Toc470096300"/>
      <w:bookmarkStart w:id="45" w:name="_Toc413083369"/>
      <w:bookmarkStart w:id="46" w:name="_Toc30161"/>
      <w:bookmarkStart w:id="47" w:name="_Toc11549"/>
      <w:bookmarkStart w:id="48" w:name="_Toc24855"/>
      <w:r>
        <w:rPr>
          <w:rFonts w:hint="eastAsia"/>
        </w:rPr>
        <w:t>三、磋商文件的获取</w:t>
      </w:r>
      <w:bookmarkEnd w:id="41"/>
      <w:bookmarkEnd w:id="42"/>
      <w:bookmarkEnd w:id="43"/>
      <w:bookmarkEnd w:id="44"/>
      <w:bookmarkEnd w:id="45"/>
      <w:bookmarkEnd w:id="46"/>
      <w:bookmarkEnd w:id="47"/>
      <w:bookmarkEnd w:id="48"/>
    </w:p>
    <w:p>
      <w:pPr>
        <w:wordWrap w:val="0"/>
        <w:adjustRightInd w:val="0"/>
        <w:snapToGrid w:val="0"/>
        <w:spacing w:line="360" w:lineRule="auto"/>
        <w:ind w:firstLine="420" w:firstLineChars="200"/>
        <w:rPr>
          <w:rFonts w:ascii="宋体" w:hAnsi="宋体" w:cs="宋体"/>
          <w:color w:val="000000"/>
          <w:szCs w:val="21"/>
        </w:rPr>
      </w:pPr>
      <w:bookmarkStart w:id="49" w:name="_Hlk498267661"/>
      <w:r>
        <w:rPr>
          <w:rFonts w:hint="eastAsia" w:ascii="宋体" w:hAnsi="宋体" w:cs="宋体"/>
          <w:color w:val="000000"/>
          <w:szCs w:val="21"/>
        </w:rPr>
        <w:t>1.时间：2024年  月  日至2024年  月  日，每天上午00：00时至12:00时，下午12：00时至23：59时（北京时间，法定节假日除外）；</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2.地点：供应商须在“政采云”平台 （http：//www.zcygov.cn）下载竞争性磋商文件（操作路径：登录“政采云”平台-项目采购-获取采购文件-找到本项目-点击“申请获取采购文件”）；</w:t>
      </w:r>
    </w:p>
    <w:p>
      <w:pPr>
        <w:wordWrap w:val="0"/>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方式：凡有意参加者，须在政采云平台办理数字证书（CA），CA申领链接：http://yzt.ynsmartcert.cn/cms/yztynzyzb.html（客服热线：0871-67276028&lt;紧急可拨19988166369&gt;）或https://middle.zcygov.cn/ca/apply/edit?certType=32，并在政采云绑定数字证书（CA）后在网上获取采购文件及其它采购资料，数字证书（CA）详见其办理流程。注：云南本地供应商如之前已在云南CA在线数字证书办理网进行过注册并办理过企业数字证书（CA），直接绑定即可，无需重复办理（2022年1月1日前办理的云南 CA 需到云南CA办理处进行升级）。外省供应商在政采云平台办理的其他CA可直接使用，无需重复办理。按上述要求获取文件的供应商视为合法获取了本项目采购文件，具备本项目的投标资格。</w:t>
      </w:r>
    </w:p>
    <w:p>
      <w:pPr>
        <w:wordWrap w:val="0"/>
        <w:adjustRightInd w:val="0"/>
        <w:snapToGrid w:val="0"/>
        <w:spacing w:line="360" w:lineRule="auto"/>
        <w:ind w:firstLine="420" w:firstLineChars="200"/>
        <w:rPr>
          <w:rFonts w:ascii="宋体" w:hAnsi="宋体" w:cs="宋体"/>
          <w:color w:val="000000"/>
          <w:szCs w:val="21"/>
          <w:u w:val="single"/>
        </w:rPr>
      </w:pPr>
      <w:r>
        <w:rPr>
          <w:rFonts w:hint="eastAsia" w:ascii="宋体" w:hAnsi="宋体" w:cs="宋体"/>
          <w:color w:val="000000"/>
          <w:szCs w:val="21"/>
        </w:rPr>
        <w:t>注：供应商通过CA证书获取竞争性磋商文件的视为合法获取了项目竞争性磋商文件，具备本项目的竞争性磋商资格。电子响应文件制作需要基于“政采云”平台（http：//www.zcygov.cn）获取的竞争性磋商文件编制。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4.售价：</w:t>
      </w:r>
      <w:r>
        <w:rPr>
          <w:rFonts w:hint="eastAsia" w:ascii="宋体" w:hAnsi="宋体" w:cs="宋体"/>
          <w:b/>
          <w:color w:val="000000"/>
          <w:szCs w:val="21"/>
        </w:rPr>
        <w:t>/</w:t>
      </w:r>
      <w:r>
        <w:rPr>
          <w:rFonts w:hint="eastAsia" w:ascii="宋体" w:hAnsi="宋体" w:cs="宋体"/>
          <w:color w:val="000000"/>
          <w:szCs w:val="21"/>
        </w:rPr>
        <w:t>。</w:t>
      </w:r>
    </w:p>
    <w:bookmarkEnd w:id="49"/>
    <w:p>
      <w:pPr>
        <w:pStyle w:val="4"/>
        <w:adjustRightInd w:val="0"/>
        <w:snapToGrid w:val="0"/>
        <w:spacing w:before="0" w:after="0"/>
        <w:jc w:val="left"/>
      </w:pPr>
      <w:bookmarkStart w:id="50" w:name="_Toc34335271"/>
      <w:bookmarkStart w:id="51" w:name="_Toc86124037"/>
      <w:bookmarkStart w:id="52" w:name="_Toc15348"/>
      <w:bookmarkStart w:id="53" w:name="_Toc25536"/>
      <w:bookmarkStart w:id="54" w:name="_Toc24143"/>
      <w:bookmarkStart w:id="55" w:name="_Toc7805"/>
      <w:bookmarkStart w:id="56" w:name="_Toc15075"/>
      <w:r>
        <w:rPr>
          <w:rFonts w:hint="eastAsia"/>
        </w:rPr>
        <w:t>四、</w:t>
      </w:r>
      <w:bookmarkEnd w:id="50"/>
      <w:bookmarkEnd w:id="51"/>
      <w:r>
        <w:rPr>
          <w:rFonts w:hint="eastAsia"/>
        </w:rPr>
        <w:t>响应文件提交</w:t>
      </w:r>
      <w:bookmarkEnd w:id="52"/>
      <w:bookmarkEnd w:id="53"/>
      <w:bookmarkEnd w:id="54"/>
      <w:bookmarkEnd w:id="55"/>
      <w:bookmarkEnd w:id="56"/>
    </w:p>
    <w:p>
      <w:pPr>
        <w:adjustRightInd w:val="0"/>
        <w:snapToGrid w:val="0"/>
        <w:spacing w:line="360" w:lineRule="auto"/>
        <w:ind w:firstLine="420" w:firstLineChars="200"/>
        <w:jc w:val="left"/>
        <w:rPr>
          <w:rFonts w:ascii="宋体" w:hAnsi="宋体" w:cs="宋体"/>
          <w:szCs w:val="21"/>
        </w:rPr>
      </w:pPr>
      <w:r>
        <w:rPr>
          <w:rFonts w:hint="eastAsia" w:ascii="宋体" w:hAnsi="宋体" w:cs="宋体"/>
          <w:color w:val="000000"/>
          <w:szCs w:val="21"/>
        </w:rPr>
        <w:t>1.截止时间：</w:t>
      </w:r>
      <w:r>
        <w:rPr>
          <w:rFonts w:hint="eastAsia" w:ascii="宋体" w:hAnsi="宋体" w:cs="宋体"/>
          <w:b/>
          <w:szCs w:val="21"/>
          <w:u w:val="single"/>
        </w:rPr>
        <w:t>2024年  月  日   点   分</w:t>
      </w:r>
      <w:r>
        <w:rPr>
          <w:rFonts w:hint="eastAsia" w:ascii="宋体" w:hAnsi="宋体" w:cs="宋体"/>
          <w:b/>
          <w:szCs w:val="21"/>
        </w:rPr>
        <w:t>（北京时间）</w:t>
      </w:r>
      <w:r>
        <w:rPr>
          <w:rFonts w:hint="eastAsia" w:ascii="宋体" w:hAnsi="宋体" w:cs="宋体"/>
          <w:szCs w:val="21"/>
        </w:rPr>
        <w:t>。</w:t>
      </w:r>
    </w:p>
    <w:p>
      <w:pPr>
        <w:adjustRightInd w:val="0"/>
        <w:snapToGrid w:val="0"/>
        <w:spacing w:line="360" w:lineRule="auto"/>
        <w:ind w:firstLine="420" w:firstLineChars="200"/>
        <w:jc w:val="left"/>
        <w:rPr>
          <w:rFonts w:ascii="宋体" w:hAnsi="宋体" w:cs="宋体"/>
          <w:b/>
          <w:color w:val="000000"/>
          <w:szCs w:val="21"/>
          <w:u w:val="single"/>
        </w:rPr>
      </w:pPr>
      <w:r>
        <w:rPr>
          <w:rFonts w:hint="eastAsia" w:ascii="宋体" w:hAnsi="宋体" w:cs="宋体"/>
          <w:szCs w:val="21"/>
        </w:rPr>
        <w:t>2.地点：</w:t>
      </w:r>
      <w:r>
        <w:rPr>
          <w:rFonts w:hint="eastAsia" w:ascii="宋体" w:hAnsi="宋体" w:cs="宋体"/>
          <w:bCs/>
          <w:szCs w:val="21"/>
        </w:rPr>
        <w:t>供应商应按照本项目竞争性磋商文件和“政采云”平台的要求编制、加密后在响应文件提交截止时间前上传至“政采云”平台，响应文件提交截止时间前未完成响应文件上传的，视为撤回响应文件。供应商在“政采云”平台提交电子版响应文件时，请填写参加远程采购活动经办人联系方式</w:t>
      </w:r>
      <w:r>
        <w:rPr>
          <w:rFonts w:hint="eastAsia" w:ascii="宋体" w:hAnsi="宋体" w:cs="宋体"/>
          <w:bCs/>
          <w:color w:val="000000"/>
          <w:szCs w:val="21"/>
        </w:rPr>
        <w:t>。</w:t>
      </w:r>
    </w:p>
    <w:p>
      <w:pPr>
        <w:pStyle w:val="4"/>
        <w:adjustRightInd w:val="0"/>
        <w:snapToGrid w:val="0"/>
        <w:spacing w:before="0" w:after="0"/>
        <w:jc w:val="left"/>
      </w:pPr>
      <w:bookmarkStart w:id="57" w:name="_Toc21125"/>
      <w:bookmarkStart w:id="58" w:name="_Toc20930"/>
      <w:bookmarkStart w:id="59" w:name="_Toc44500187"/>
      <w:bookmarkStart w:id="60" w:name="_Toc21790"/>
      <w:bookmarkStart w:id="61" w:name="_Toc32036"/>
      <w:bookmarkStart w:id="62" w:name="_Toc22236"/>
      <w:bookmarkStart w:id="63" w:name="_Toc347133579"/>
      <w:bookmarkStart w:id="64" w:name="_Toc34335272"/>
      <w:bookmarkStart w:id="65" w:name="_Toc470096301"/>
      <w:bookmarkStart w:id="66" w:name="_Toc432194822"/>
      <w:bookmarkStart w:id="67" w:name="_Toc432106471"/>
      <w:bookmarkStart w:id="68" w:name="_Toc304998754"/>
      <w:r>
        <w:rPr>
          <w:rFonts w:hint="eastAsia"/>
        </w:rPr>
        <w:t>五、开启</w:t>
      </w:r>
      <w:bookmarkEnd w:id="57"/>
      <w:bookmarkEnd w:id="58"/>
      <w:bookmarkEnd w:id="59"/>
      <w:bookmarkEnd w:id="60"/>
      <w:bookmarkEnd w:id="61"/>
      <w:bookmarkEnd w:id="62"/>
    </w:p>
    <w:p>
      <w:pPr>
        <w:adjustRightInd w:val="0"/>
        <w:snapToGrid w:val="0"/>
        <w:spacing w:line="360" w:lineRule="auto"/>
        <w:ind w:firstLine="420" w:firstLineChars="200"/>
        <w:rPr>
          <w:rFonts w:ascii="宋体" w:hAnsi="宋体" w:cs="宋体"/>
          <w:color w:val="000000"/>
        </w:rPr>
      </w:pPr>
      <w:r>
        <w:rPr>
          <w:rFonts w:hint="eastAsia" w:ascii="宋体" w:hAnsi="宋体" w:cs="宋体"/>
          <w:color w:val="000000"/>
        </w:rPr>
        <w:t>1.时间：</w:t>
      </w:r>
      <w:r>
        <w:rPr>
          <w:rFonts w:hint="eastAsia" w:ascii="宋体" w:hAnsi="宋体" w:cs="宋体"/>
          <w:b/>
          <w:szCs w:val="21"/>
          <w:u w:val="single"/>
        </w:rPr>
        <w:t>2024年   月   日   点   分</w:t>
      </w:r>
      <w:r>
        <w:rPr>
          <w:rFonts w:hint="eastAsia" w:ascii="宋体" w:hAnsi="宋体" w:cs="宋体"/>
          <w:b/>
          <w:szCs w:val="21"/>
        </w:rPr>
        <w:t>（北京时间）</w:t>
      </w:r>
      <w:r>
        <w:rPr>
          <w:rFonts w:hint="eastAsia" w:ascii="宋体" w:hAnsi="宋体" w:cs="宋体"/>
          <w:color w:val="000000"/>
        </w:rPr>
        <w:t>。</w:t>
      </w:r>
    </w:p>
    <w:p>
      <w:pPr>
        <w:adjustRightInd w:val="0"/>
        <w:snapToGrid w:val="0"/>
        <w:spacing w:line="360" w:lineRule="auto"/>
        <w:ind w:firstLine="420" w:firstLineChars="200"/>
        <w:rPr>
          <w:rFonts w:ascii="宋体" w:hAnsi="宋体" w:cs="宋体"/>
          <w:color w:val="000000"/>
        </w:rPr>
      </w:pPr>
      <w:r>
        <w:rPr>
          <w:rFonts w:hint="eastAsia" w:ascii="宋体" w:hAnsi="宋体" w:cs="宋体"/>
          <w:color w:val="000000"/>
        </w:rPr>
        <w:t>2.地点</w:t>
      </w:r>
      <w:r>
        <w:rPr>
          <w:rFonts w:hint="eastAsia" w:ascii="宋体" w:hAnsi="宋体" w:cs="宋体"/>
          <w:b/>
          <w:bCs/>
          <w:color w:val="000000"/>
        </w:rPr>
        <w:t>：</w:t>
      </w:r>
      <w:r>
        <w:rPr>
          <w:rFonts w:hint="eastAsia" w:ascii="宋体" w:hAnsi="宋体" w:cs="宋体"/>
          <w:szCs w:val="21"/>
        </w:rPr>
        <w:t>供应商应按照本项目竞争性磋商文件和“政采云”平台的要求编制、加密后在响应文件提交截止时间前上传至“政采云”平台，响应文件提交截止时间前未完成响应文件上传的，视为撤回响应文件。供应商在“政采云”平台提交电子版响应文件时，请填写参加远程采购活动经办人联系方式</w:t>
      </w:r>
      <w:r>
        <w:rPr>
          <w:rFonts w:hint="eastAsia" w:ascii="宋体" w:hAnsi="宋体" w:cs="宋体"/>
          <w:color w:val="000000"/>
          <w:szCs w:val="21"/>
        </w:rPr>
        <w:t>。</w:t>
      </w:r>
    </w:p>
    <w:p>
      <w:pPr>
        <w:pStyle w:val="4"/>
        <w:adjustRightInd w:val="0"/>
        <w:snapToGrid w:val="0"/>
        <w:spacing w:before="0" w:after="0"/>
        <w:jc w:val="left"/>
      </w:pPr>
      <w:bookmarkStart w:id="69" w:name="_Toc14531"/>
      <w:bookmarkStart w:id="70" w:name="_Toc26391"/>
      <w:bookmarkStart w:id="71" w:name="_Toc16396"/>
      <w:bookmarkStart w:id="72" w:name="_Toc9211"/>
      <w:bookmarkStart w:id="73" w:name="_Toc44500188"/>
      <w:bookmarkStart w:id="74" w:name="_Toc1864"/>
      <w:r>
        <w:rPr>
          <w:rFonts w:hint="eastAsia"/>
        </w:rPr>
        <w:t>六、</w:t>
      </w:r>
      <w:bookmarkEnd w:id="63"/>
      <w:bookmarkEnd w:id="64"/>
      <w:bookmarkEnd w:id="65"/>
      <w:bookmarkEnd w:id="66"/>
      <w:bookmarkEnd w:id="67"/>
      <w:r>
        <w:rPr>
          <w:rFonts w:hint="eastAsia"/>
        </w:rPr>
        <w:t>公告期限</w:t>
      </w:r>
      <w:bookmarkEnd w:id="69"/>
      <w:bookmarkEnd w:id="70"/>
      <w:bookmarkEnd w:id="71"/>
      <w:bookmarkEnd w:id="72"/>
      <w:bookmarkEnd w:id="73"/>
      <w:bookmarkEnd w:id="74"/>
    </w:p>
    <w:bookmarkEnd w:id="68"/>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自本公告发布之日起5个工作日。</w:t>
      </w:r>
    </w:p>
    <w:p>
      <w:pPr>
        <w:pStyle w:val="4"/>
        <w:adjustRightInd w:val="0"/>
        <w:snapToGrid w:val="0"/>
        <w:spacing w:before="0" w:after="0"/>
        <w:jc w:val="left"/>
      </w:pPr>
      <w:bookmarkStart w:id="75" w:name="_Toc34335273"/>
      <w:bookmarkStart w:id="76" w:name="_Toc16920"/>
      <w:bookmarkStart w:id="77" w:name="_Toc44500189"/>
      <w:bookmarkStart w:id="78" w:name="_Toc15027"/>
      <w:bookmarkStart w:id="79" w:name="_Toc6385"/>
      <w:bookmarkStart w:id="80" w:name="_Toc19433"/>
      <w:bookmarkStart w:id="81" w:name="_Toc13498"/>
      <w:r>
        <w:rPr>
          <w:rFonts w:hint="eastAsia"/>
        </w:rPr>
        <w:t>七、</w:t>
      </w:r>
      <w:bookmarkEnd w:id="75"/>
      <w:r>
        <w:rPr>
          <w:rFonts w:hint="eastAsia"/>
        </w:rPr>
        <w:t>其它补充事宜</w:t>
      </w:r>
      <w:bookmarkEnd w:id="76"/>
      <w:bookmarkEnd w:id="77"/>
      <w:bookmarkEnd w:id="78"/>
      <w:bookmarkEnd w:id="79"/>
      <w:bookmarkEnd w:id="80"/>
      <w:bookmarkEnd w:id="81"/>
    </w:p>
    <w:p>
      <w:pPr>
        <w:wordWrap w:val="0"/>
        <w:adjustRightInd w:val="0"/>
        <w:snapToGrid w:val="0"/>
        <w:spacing w:line="360" w:lineRule="auto"/>
        <w:ind w:firstLine="415" w:firstLineChars="198"/>
        <w:rPr>
          <w:rFonts w:ascii="宋体" w:hAnsi="宋体" w:cs="宋体"/>
          <w:bCs/>
          <w:color w:val="000000"/>
          <w:szCs w:val="21"/>
        </w:rPr>
      </w:pPr>
      <w:r>
        <w:rPr>
          <w:rFonts w:hint="eastAsia" w:ascii="宋体" w:hAnsi="宋体" w:cs="宋体"/>
          <w:color w:val="000000"/>
          <w:szCs w:val="21"/>
        </w:rPr>
        <w:t>1.发布公告的媒介：</w:t>
      </w:r>
      <w:r>
        <w:rPr>
          <w:rFonts w:hint="eastAsia" w:ascii="宋体" w:hAnsi="宋体"/>
          <w:bCs/>
          <w:szCs w:val="21"/>
        </w:rPr>
        <w:t>本次竞争性磋商公告仅在《云南省政府采购网》（</w:t>
      </w:r>
      <w:r>
        <w:rPr>
          <w:rFonts w:ascii="宋体" w:hAnsi="宋体"/>
          <w:bCs/>
          <w:szCs w:val="21"/>
        </w:rPr>
        <w:t>http://www.yngp.com/index.html</w:t>
      </w:r>
      <w:r>
        <w:rPr>
          <w:rFonts w:hint="eastAsia" w:ascii="宋体" w:hAnsi="宋体"/>
          <w:bCs/>
          <w:szCs w:val="21"/>
        </w:rPr>
        <w:t>）上发布，采购人及采购代理机构对其他网站或媒体转载的公告及公告内容不承担任何责任</w:t>
      </w:r>
      <w:r>
        <w:rPr>
          <w:rFonts w:hint="eastAsia" w:ascii="宋体" w:hAnsi="宋体" w:cs="宋体"/>
          <w:bCs/>
          <w:color w:val="000000"/>
          <w:szCs w:val="21"/>
        </w:rPr>
        <w:t>。</w:t>
      </w:r>
    </w:p>
    <w:p>
      <w:pPr>
        <w:adjustRightInd w:val="0"/>
        <w:snapToGrid w:val="0"/>
        <w:spacing w:line="360" w:lineRule="auto"/>
        <w:ind w:firstLine="415" w:firstLineChars="198"/>
      </w:pPr>
      <w:r>
        <w:rPr>
          <w:rFonts w:hint="eastAsia" w:ascii="宋体" w:hAnsi="宋体" w:cs="宋体"/>
          <w:color w:val="000000"/>
          <w:szCs w:val="21"/>
        </w:rPr>
        <w:t>2.本项目响应文件提交方式：</w:t>
      </w:r>
      <w:r>
        <w:rPr>
          <w:rFonts w:hint="eastAsia" w:ascii="宋体" w:hAnsi="宋体" w:cs="宋体"/>
          <w:b/>
          <w:color w:val="000000"/>
          <w:szCs w:val="21"/>
        </w:rPr>
        <w:t>网上提交。</w:t>
      </w:r>
    </w:p>
    <w:p>
      <w:pPr>
        <w:pStyle w:val="4"/>
        <w:adjustRightInd w:val="0"/>
        <w:snapToGrid w:val="0"/>
        <w:spacing w:before="0" w:after="0"/>
        <w:jc w:val="left"/>
      </w:pPr>
      <w:bookmarkStart w:id="82" w:name="_Toc34335274"/>
      <w:bookmarkStart w:id="83" w:name="_Toc19677"/>
      <w:bookmarkStart w:id="84" w:name="_Toc24257"/>
      <w:bookmarkStart w:id="85" w:name="_Toc44500190"/>
      <w:bookmarkStart w:id="86" w:name="_Toc19042"/>
      <w:bookmarkStart w:id="87" w:name="_Toc7496"/>
      <w:bookmarkStart w:id="88" w:name="_Toc15713"/>
      <w:r>
        <w:rPr>
          <w:rFonts w:hint="eastAsia"/>
        </w:rPr>
        <w:t>八、</w:t>
      </w:r>
      <w:bookmarkEnd w:id="82"/>
      <w:r>
        <w:rPr>
          <w:rFonts w:hint="eastAsia"/>
        </w:rPr>
        <w:t>凡对本次采购提出询问，请按以下方式联系</w:t>
      </w:r>
      <w:bookmarkEnd w:id="83"/>
      <w:bookmarkEnd w:id="84"/>
      <w:bookmarkEnd w:id="85"/>
      <w:bookmarkEnd w:id="86"/>
      <w:bookmarkEnd w:id="87"/>
      <w:bookmarkEnd w:id="88"/>
    </w:p>
    <w:p>
      <w:pPr>
        <w:adjustRightInd w:val="0"/>
        <w:snapToGrid w:val="0"/>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1.采购人信息</w:t>
      </w:r>
    </w:p>
    <w:p>
      <w:pPr>
        <w:adjustRightInd w:val="0"/>
        <w:snapToGrid w:val="0"/>
        <w:spacing w:line="360" w:lineRule="auto"/>
        <w:ind w:firstLine="420" w:firstLineChars="200"/>
        <w:rPr>
          <w:rFonts w:ascii="宋体" w:hAnsi="宋体" w:cs="宋体"/>
          <w:color w:val="000000"/>
        </w:rPr>
      </w:pPr>
      <w:r>
        <w:rPr>
          <w:rFonts w:hint="eastAsia" w:ascii="宋体" w:hAnsi="宋体" w:cs="宋体"/>
          <w:color w:val="000000"/>
        </w:rPr>
        <w:t>名    称：云南省生态环境监测中心</w:t>
      </w:r>
    </w:p>
    <w:p>
      <w:pPr>
        <w:adjustRightInd w:val="0"/>
        <w:snapToGrid w:val="0"/>
        <w:spacing w:line="360" w:lineRule="auto"/>
        <w:ind w:firstLine="420" w:firstLineChars="200"/>
        <w:rPr>
          <w:rFonts w:ascii="宋体" w:hAnsi="宋体" w:cs="宋体"/>
          <w:color w:val="000000"/>
        </w:rPr>
      </w:pPr>
      <w:r>
        <w:rPr>
          <w:rFonts w:hint="eastAsia" w:ascii="宋体" w:hAnsi="宋体" w:cs="宋体"/>
          <w:color w:val="000000"/>
        </w:rPr>
        <w:t>地    址：云南省昆明市西山区滇池路5号(严家地地铁站A口旁)</w:t>
      </w:r>
    </w:p>
    <w:p>
      <w:pPr>
        <w:adjustRightInd w:val="0"/>
        <w:snapToGrid w:val="0"/>
        <w:spacing w:line="360" w:lineRule="auto"/>
        <w:ind w:firstLine="420" w:firstLineChars="200"/>
        <w:rPr>
          <w:rFonts w:ascii="宋体" w:hAnsi="宋体" w:cs="宋体"/>
          <w:color w:val="000000"/>
        </w:rPr>
      </w:pPr>
      <w:r>
        <w:rPr>
          <w:rFonts w:hint="eastAsia" w:ascii="宋体" w:hAnsi="宋体" w:cs="宋体"/>
        </w:rPr>
        <w:t>联系人及联系方式</w:t>
      </w:r>
      <w:r>
        <w:rPr>
          <w:rFonts w:hint="eastAsia" w:ascii="宋体" w:hAnsi="宋体" w:cs="宋体"/>
          <w:color w:val="000000"/>
          <w:szCs w:val="21"/>
          <w:lang w:val="zh-CN"/>
        </w:rPr>
        <w:t>：</w:t>
      </w:r>
      <w:r>
        <w:rPr>
          <w:rFonts w:hint="eastAsia" w:ascii="宋体" w:hAnsi="宋体" w:cs="宋体"/>
          <w:color w:val="000000"/>
          <w:szCs w:val="21"/>
        </w:rPr>
        <w:t xml:space="preserve">尚老师 0871—64128032 </w:t>
      </w:r>
    </w:p>
    <w:p>
      <w:pPr>
        <w:adjustRightInd w:val="0"/>
        <w:snapToGrid w:val="0"/>
        <w:spacing w:line="360" w:lineRule="auto"/>
        <w:ind w:firstLine="422" w:firstLineChars="200"/>
        <w:rPr>
          <w:rFonts w:ascii="宋体" w:hAnsi="宋体" w:cs="宋体"/>
          <w:b/>
          <w:bCs/>
          <w:color w:val="000000"/>
          <w:szCs w:val="21"/>
        </w:rPr>
      </w:pPr>
      <w:r>
        <w:rPr>
          <w:rFonts w:hint="eastAsia" w:ascii="宋体" w:hAnsi="宋体" w:cs="宋体"/>
          <w:b/>
          <w:bCs/>
          <w:color w:val="000000"/>
          <w:szCs w:val="21"/>
        </w:rPr>
        <w:t>2.采购代理机构信息</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名  称：云南中云招标咨询有限公司</w:t>
      </w:r>
    </w:p>
    <w:p>
      <w:pPr>
        <w:adjustRightInd w:val="0"/>
        <w:snapToGri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地  址：云南省昆明市西山区滇池柏悦5栋20楼</w:t>
      </w:r>
    </w:p>
    <w:p>
      <w:pPr>
        <w:adjustRightInd w:val="0"/>
        <w:snapToGri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lang w:val="zh-CN"/>
        </w:rPr>
        <w:t>电</w:t>
      </w:r>
      <w:r>
        <w:rPr>
          <w:rFonts w:hint="eastAsia" w:ascii="宋体" w:hAnsi="宋体" w:cs="宋体"/>
          <w:color w:val="000000"/>
          <w:szCs w:val="21"/>
        </w:rPr>
        <w:t xml:space="preserve">  </w:t>
      </w:r>
      <w:r>
        <w:rPr>
          <w:rFonts w:hint="eastAsia" w:ascii="宋体" w:hAnsi="宋体" w:cs="宋体"/>
          <w:color w:val="000000"/>
          <w:szCs w:val="21"/>
          <w:lang w:val="zh-CN"/>
        </w:rPr>
        <w:t>话：</w:t>
      </w:r>
      <w:r>
        <w:rPr>
          <w:rFonts w:ascii="宋体" w:hAnsi="宋体" w:cs="宋体"/>
          <w:color w:val="000000"/>
          <w:szCs w:val="21"/>
          <w:lang w:val="zh-CN"/>
        </w:rPr>
        <w:t>0871-65313510</w:t>
      </w:r>
    </w:p>
    <w:p>
      <w:pPr>
        <w:pStyle w:val="12"/>
        <w:adjustRightInd w:val="0"/>
        <w:snapToGrid w:val="0"/>
        <w:spacing w:beforeLines="0" w:line="360" w:lineRule="auto"/>
        <w:ind w:firstLine="422"/>
        <w:rPr>
          <w:rFonts w:hAnsi="宋体" w:cs="宋体"/>
          <w:b/>
          <w:bCs/>
          <w:color w:val="000000"/>
          <w:szCs w:val="21"/>
          <w:lang w:val="zh-CN"/>
        </w:rPr>
      </w:pPr>
      <w:r>
        <w:rPr>
          <w:rFonts w:hint="eastAsia" w:hAnsi="宋体" w:cs="宋体"/>
          <w:b/>
          <w:bCs/>
          <w:color w:val="000000"/>
          <w:szCs w:val="21"/>
          <w:lang w:val="zh-CN"/>
        </w:rPr>
        <w:t>3.项目联系方式</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项目联系人：</w:t>
      </w:r>
      <w:r>
        <w:rPr>
          <w:rFonts w:hint="eastAsia" w:ascii="宋体" w:hAnsi="宋体" w:cs="宋体"/>
          <w:bCs/>
          <w:spacing w:val="10"/>
          <w:szCs w:val="21"/>
        </w:rPr>
        <w:t>杨恒健，王晓敏，何家祯，宫玉隆，雷保厚，艾昆，姚艺琼，朱羽，孟红（代理机构）</w:t>
      </w:r>
    </w:p>
    <w:p>
      <w:pPr>
        <w:pStyle w:val="12"/>
        <w:adjustRightInd w:val="0"/>
        <w:snapToGrid w:val="0"/>
        <w:spacing w:beforeLines="0" w:line="360" w:lineRule="auto"/>
        <w:ind w:firstLine="420"/>
        <w:rPr>
          <w:rFonts w:hAnsi="宋体" w:cs="宋体"/>
          <w:color w:val="000000"/>
          <w:szCs w:val="21"/>
          <w:lang w:val="zh-CN"/>
        </w:rPr>
      </w:pPr>
      <w:r>
        <w:rPr>
          <w:rFonts w:hint="eastAsia" w:hAnsi="宋体" w:cs="宋体"/>
          <w:color w:val="000000"/>
          <w:szCs w:val="21"/>
          <w:lang w:val="zh-CN"/>
        </w:rPr>
        <w:t>电</w:t>
      </w:r>
      <w:r>
        <w:rPr>
          <w:rFonts w:hint="eastAsia" w:hAnsi="宋体" w:cs="宋体"/>
          <w:color w:val="000000"/>
          <w:szCs w:val="21"/>
        </w:rPr>
        <w:t xml:space="preserve">  </w:t>
      </w:r>
      <w:r>
        <w:rPr>
          <w:rFonts w:hint="eastAsia" w:hAnsi="宋体" w:cs="宋体"/>
          <w:color w:val="000000"/>
          <w:szCs w:val="21"/>
          <w:lang w:val="zh-CN"/>
        </w:rPr>
        <w:t>话：</w:t>
      </w:r>
      <w:r>
        <w:rPr>
          <w:rFonts w:hAnsi="宋体" w:cs="宋体"/>
          <w:color w:val="000000"/>
          <w:szCs w:val="21"/>
          <w:lang w:val="zh-CN"/>
        </w:rPr>
        <w:t>0871-65313510</w:t>
      </w:r>
    </w:p>
    <w:p>
      <w:pPr>
        <w:tabs>
          <w:tab w:val="right" w:leader="dot" w:pos="9070"/>
          <w:tab w:val="right" w:leader="dot" w:pos="9498"/>
        </w:tabs>
        <w:adjustRightInd w:val="0"/>
        <w:snapToGrid w:val="0"/>
        <w:spacing w:line="360" w:lineRule="auto"/>
        <w:jc w:val="center"/>
        <w:outlineLvl w:val="0"/>
        <w:rPr>
          <w:rFonts w:ascii="宋体" w:hAnsi="宋体" w:cs="宋体"/>
          <w:b/>
          <w:color w:val="000000"/>
          <w:kern w:val="44"/>
          <w:sz w:val="32"/>
          <w:szCs w:val="32"/>
        </w:rPr>
      </w:pPr>
      <w:r>
        <w:rPr>
          <w:rFonts w:hint="eastAsia" w:ascii="宋体" w:hAnsi="宋体" w:cs="宋体"/>
          <w:sz w:val="32"/>
        </w:rPr>
        <w:br w:type="page"/>
      </w:r>
      <w:bookmarkEnd w:id="21"/>
      <w:bookmarkStart w:id="89" w:name="_Toc17281"/>
      <w:bookmarkStart w:id="90" w:name="_Toc470096302"/>
      <w:bookmarkStart w:id="91" w:name="_Toc34335275"/>
      <w:bookmarkStart w:id="92" w:name="_Toc26939"/>
      <w:bookmarkStart w:id="93" w:name="_Toc9763"/>
      <w:bookmarkStart w:id="94" w:name="_Toc31517"/>
      <w:bookmarkStart w:id="95" w:name="_Toc19833"/>
      <w:r>
        <w:rPr>
          <w:rStyle w:val="50"/>
          <w:rFonts w:hint="eastAsia"/>
        </w:rPr>
        <w:t>第二章  供应商须知</w:t>
      </w:r>
      <w:bookmarkEnd w:id="89"/>
      <w:bookmarkEnd w:id="90"/>
      <w:bookmarkEnd w:id="91"/>
      <w:bookmarkEnd w:id="92"/>
      <w:bookmarkEnd w:id="93"/>
      <w:bookmarkEnd w:id="94"/>
      <w:bookmarkEnd w:id="95"/>
    </w:p>
    <w:p>
      <w:pPr>
        <w:pStyle w:val="4"/>
        <w:adjustRightInd w:val="0"/>
        <w:snapToGrid w:val="0"/>
        <w:spacing w:before="0" w:after="0"/>
      </w:pPr>
      <w:bookmarkStart w:id="96" w:name="_Toc30245"/>
      <w:bookmarkStart w:id="97" w:name="_Toc7127"/>
      <w:bookmarkStart w:id="98" w:name="_Toc11196"/>
      <w:bookmarkStart w:id="99" w:name="_Toc34335276"/>
      <w:bookmarkStart w:id="100" w:name="_Toc5457"/>
      <w:bookmarkStart w:id="101" w:name="_Toc470096303"/>
      <w:bookmarkStart w:id="102" w:name="_Toc22385"/>
      <w:bookmarkStart w:id="103" w:name="_Toc86124039"/>
      <w:r>
        <w:rPr>
          <w:rFonts w:hint="eastAsia"/>
        </w:rPr>
        <w:t>供应商须知前附表</w:t>
      </w:r>
      <w:bookmarkEnd w:id="96"/>
      <w:bookmarkEnd w:id="97"/>
      <w:bookmarkEnd w:id="98"/>
      <w:bookmarkEnd w:id="99"/>
      <w:bookmarkEnd w:id="100"/>
      <w:bookmarkEnd w:id="101"/>
      <w:bookmarkEnd w:id="102"/>
      <w:bookmarkEnd w:id="103"/>
    </w:p>
    <w:tbl>
      <w:tblPr>
        <w:tblStyle w:val="40"/>
        <w:tblW w:w="9130"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689"/>
        <w:gridCol w:w="2187"/>
        <w:gridCol w:w="5325"/>
        <w:gridCol w:w="92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58" w:hRule="atLeast"/>
          <w:tblHeader/>
          <w:jc w:val="center"/>
        </w:trPr>
        <w:tc>
          <w:tcPr>
            <w:tcW w:w="689" w:type="dxa"/>
            <w:vAlign w:val="center"/>
          </w:tcPr>
          <w:p>
            <w:pPr>
              <w:pStyle w:val="20"/>
              <w:snapToGrid w:val="0"/>
              <w:spacing w:line="360" w:lineRule="auto"/>
              <w:jc w:val="center"/>
              <w:rPr>
                <w:rFonts w:hAnsi="宋体" w:cs="宋体"/>
                <w:b/>
                <w:color w:val="000000"/>
                <w:kern w:val="0"/>
              </w:rPr>
            </w:pPr>
            <w:r>
              <w:rPr>
                <w:rFonts w:hint="eastAsia" w:hAnsi="宋体" w:cs="宋体"/>
                <w:b/>
                <w:color w:val="000000"/>
                <w:kern w:val="0"/>
              </w:rPr>
              <w:t>序号</w:t>
            </w:r>
          </w:p>
        </w:tc>
        <w:tc>
          <w:tcPr>
            <w:tcW w:w="2187" w:type="dxa"/>
            <w:vAlign w:val="center"/>
          </w:tcPr>
          <w:p>
            <w:pPr>
              <w:pStyle w:val="20"/>
              <w:snapToGrid w:val="0"/>
              <w:spacing w:line="360" w:lineRule="auto"/>
              <w:jc w:val="center"/>
              <w:rPr>
                <w:rFonts w:hAnsi="宋体" w:cs="宋体"/>
                <w:b/>
                <w:color w:val="000000"/>
                <w:kern w:val="0"/>
              </w:rPr>
            </w:pPr>
            <w:r>
              <w:rPr>
                <w:rFonts w:hint="eastAsia" w:hAnsi="宋体" w:cs="宋体"/>
                <w:b/>
                <w:color w:val="000000"/>
                <w:kern w:val="0"/>
              </w:rPr>
              <w:t>条 款 名 称</w:t>
            </w:r>
          </w:p>
        </w:tc>
        <w:tc>
          <w:tcPr>
            <w:tcW w:w="5325" w:type="dxa"/>
            <w:vAlign w:val="center"/>
          </w:tcPr>
          <w:p>
            <w:pPr>
              <w:pStyle w:val="20"/>
              <w:snapToGrid w:val="0"/>
              <w:spacing w:line="360" w:lineRule="auto"/>
              <w:jc w:val="center"/>
              <w:rPr>
                <w:rFonts w:hAnsi="宋体" w:cs="宋体"/>
                <w:b/>
                <w:color w:val="000000"/>
                <w:kern w:val="0"/>
              </w:rPr>
            </w:pPr>
            <w:r>
              <w:rPr>
                <w:rFonts w:hint="eastAsia" w:hAnsi="宋体" w:cs="宋体"/>
                <w:b/>
                <w:color w:val="000000"/>
                <w:kern w:val="0"/>
              </w:rPr>
              <w:t>编 列 内 容</w:t>
            </w:r>
          </w:p>
        </w:tc>
        <w:tc>
          <w:tcPr>
            <w:tcW w:w="929" w:type="dxa"/>
            <w:vAlign w:val="center"/>
          </w:tcPr>
          <w:p>
            <w:pPr>
              <w:pStyle w:val="20"/>
              <w:snapToGrid w:val="0"/>
              <w:spacing w:line="360" w:lineRule="auto"/>
              <w:jc w:val="center"/>
              <w:rPr>
                <w:rFonts w:hAnsi="宋体" w:cs="宋体"/>
                <w:b/>
                <w:color w:val="000000"/>
                <w:kern w:val="0"/>
              </w:rPr>
            </w:pPr>
            <w:r>
              <w:rPr>
                <w:rFonts w:hint="eastAsia" w:hAnsi="宋体" w:cs="宋体"/>
                <w:b/>
                <w:color w:val="000000"/>
                <w:kern w:val="0"/>
              </w:rPr>
              <w:t>条款号</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w:t>
            </w:r>
          </w:p>
        </w:tc>
        <w:tc>
          <w:tcPr>
            <w:tcW w:w="2187" w:type="dxa"/>
            <w:vAlign w:val="center"/>
          </w:tcPr>
          <w:p>
            <w:pPr>
              <w:pStyle w:val="20"/>
              <w:snapToGrid w:val="0"/>
              <w:spacing w:line="360" w:lineRule="auto"/>
              <w:jc w:val="center"/>
              <w:rPr>
                <w:rFonts w:hAnsi="宋体" w:cs="宋体"/>
                <w:color w:val="000000"/>
                <w:kern w:val="0"/>
                <w:u w:val="single"/>
              </w:rPr>
            </w:pPr>
            <w:r>
              <w:rPr>
                <w:rFonts w:hint="eastAsia" w:hAnsi="宋体" w:cs="宋体"/>
                <w:bCs/>
                <w:color w:val="000000"/>
                <w:kern w:val="0"/>
              </w:rPr>
              <w:t>采购人</w:t>
            </w:r>
          </w:p>
        </w:tc>
        <w:tc>
          <w:tcPr>
            <w:tcW w:w="5325" w:type="dxa"/>
            <w:vAlign w:val="center"/>
          </w:tcPr>
          <w:p>
            <w:pPr>
              <w:pStyle w:val="20"/>
              <w:snapToGrid w:val="0"/>
              <w:spacing w:line="360" w:lineRule="auto"/>
              <w:rPr>
                <w:rFonts w:hAnsi="宋体" w:cs="宋体"/>
                <w:bCs/>
              </w:rPr>
            </w:pPr>
            <w:r>
              <w:rPr>
                <w:rFonts w:hint="eastAsia" w:hAnsi="宋体" w:cs="宋体"/>
                <w:bCs/>
              </w:rPr>
              <w:t>采购人：云南省生态环境监测中心。</w:t>
            </w:r>
          </w:p>
          <w:p>
            <w:pPr>
              <w:pStyle w:val="20"/>
              <w:snapToGrid w:val="0"/>
              <w:spacing w:line="360" w:lineRule="auto"/>
              <w:rPr>
                <w:rFonts w:hAnsi="宋体" w:cs="宋体"/>
                <w:bCs/>
              </w:rPr>
            </w:pPr>
            <w:r>
              <w:rPr>
                <w:rFonts w:hint="eastAsia" w:hAnsi="宋体" w:cs="宋体"/>
                <w:bCs/>
              </w:rPr>
              <w:t>地址：</w:t>
            </w:r>
            <w:r>
              <w:rPr>
                <w:rFonts w:hint="eastAsia" w:hAnsi="宋体" w:cs="宋体"/>
                <w:color w:val="000000"/>
              </w:rPr>
              <w:t>云南省昆明市西山区滇池路5号(严家地地铁站A口旁)</w:t>
            </w:r>
          </w:p>
          <w:p>
            <w:pPr>
              <w:pStyle w:val="20"/>
              <w:snapToGrid w:val="0"/>
              <w:spacing w:line="360" w:lineRule="auto"/>
              <w:rPr>
                <w:rFonts w:hAnsi="宋体" w:cs="宋体"/>
                <w:bCs/>
              </w:rPr>
            </w:pPr>
            <w:r>
              <w:rPr>
                <w:rFonts w:hint="eastAsia" w:hAnsi="宋体" w:cs="宋体"/>
                <w:bCs/>
              </w:rPr>
              <w:t>联系人：尚老师</w:t>
            </w:r>
          </w:p>
          <w:p>
            <w:pPr>
              <w:adjustRightInd w:val="0"/>
              <w:snapToGrid w:val="0"/>
              <w:spacing w:line="360" w:lineRule="auto"/>
            </w:pPr>
            <w:r>
              <w:rPr>
                <w:rFonts w:hint="eastAsia" w:ascii="宋体" w:hAnsi="宋体" w:cs="宋体"/>
                <w:bCs/>
                <w:szCs w:val="21"/>
              </w:rPr>
              <w:t>联系电话：</w:t>
            </w:r>
            <w:r>
              <w:rPr>
                <w:rFonts w:hint="eastAsia" w:ascii="宋体" w:hAnsi="宋体" w:cs="宋体"/>
                <w:color w:val="000000"/>
                <w:szCs w:val="21"/>
              </w:rPr>
              <w:t>0871—64128032</w:t>
            </w:r>
          </w:p>
        </w:tc>
        <w:tc>
          <w:tcPr>
            <w:tcW w:w="92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2</w:t>
            </w:r>
          </w:p>
        </w:tc>
        <w:tc>
          <w:tcPr>
            <w:tcW w:w="2187" w:type="dxa"/>
            <w:vAlign w:val="center"/>
          </w:tcPr>
          <w:p>
            <w:pPr>
              <w:pStyle w:val="20"/>
              <w:snapToGrid w:val="0"/>
              <w:spacing w:line="360" w:lineRule="auto"/>
              <w:jc w:val="center"/>
              <w:rPr>
                <w:rFonts w:hAnsi="宋体" w:cs="宋体"/>
                <w:bCs/>
                <w:color w:val="000000"/>
                <w:kern w:val="0"/>
              </w:rPr>
            </w:pPr>
            <w:r>
              <w:rPr>
                <w:rFonts w:hint="eastAsia" w:hAnsi="宋体" w:cs="宋体"/>
                <w:bCs/>
                <w:color w:val="000000"/>
                <w:kern w:val="0"/>
              </w:rPr>
              <w:t>采购代理机构</w:t>
            </w:r>
          </w:p>
        </w:tc>
        <w:tc>
          <w:tcPr>
            <w:tcW w:w="5325" w:type="dxa"/>
            <w:vAlign w:val="center"/>
          </w:tcPr>
          <w:p>
            <w:pPr>
              <w:pStyle w:val="20"/>
              <w:snapToGrid w:val="0"/>
              <w:spacing w:line="360" w:lineRule="auto"/>
              <w:rPr>
                <w:rFonts w:hAnsi="宋体" w:cs="宋体"/>
              </w:rPr>
            </w:pPr>
            <w:r>
              <w:rPr>
                <w:rFonts w:hint="eastAsia" w:hAnsi="宋体" w:cs="宋体"/>
              </w:rPr>
              <w:t>采购代理机构：云南中云招标咨询有限公司</w:t>
            </w:r>
          </w:p>
          <w:p>
            <w:pPr>
              <w:pStyle w:val="20"/>
              <w:snapToGrid w:val="0"/>
              <w:spacing w:line="360" w:lineRule="auto"/>
              <w:rPr>
                <w:rFonts w:hAnsi="宋体" w:cs="宋体"/>
              </w:rPr>
            </w:pPr>
            <w:r>
              <w:rPr>
                <w:rFonts w:hint="eastAsia" w:hAnsi="宋体" w:cs="宋体"/>
              </w:rPr>
              <w:t>地址：云南省昆明市西山区滇池柏悦5栋20楼。</w:t>
            </w:r>
          </w:p>
          <w:p>
            <w:pPr>
              <w:pStyle w:val="20"/>
              <w:snapToGrid w:val="0"/>
              <w:spacing w:line="360" w:lineRule="auto"/>
              <w:rPr>
                <w:rFonts w:hAnsi="宋体" w:cs="宋体"/>
              </w:rPr>
            </w:pPr>
            <w:r>
              <w:rPr>
                <w:rFonts w:hint="eastAsia" w:hAnsi="宋体" w:cs="宋体"/>
              </w:rPr>
              <w:t>联系人：</w:t>
            </w:r>
            <w:r>
              <w:rPr>
                <w:rFonts w:hint="eastAsia" w:hAnsi="宋体" w:cs="宋体"/>
                <w:bCs/>
                <w:spacing w:val="10"/>
              </w:rPr>
              <w:t>杨恒健，王晓敏，何家祯，宫玉隆，雷保厚，艾昆，姚艺琼，朱羽，孟红（代理机构）</w:t>
            </w:r>
          </w:p>
          <w:p>
            <w:pPr>
              <w:pStyle w:val="20"/>
              <w:snapToGrid w:val="0"/>
              <w:spacing w:line="360" w:lineRule="auto"/>
              <w:rPr>
                <w:rFonts w:hAnsi="宋体" w:cs="宋体"/>
                <w:color w:val="000000"/>
                <w:kern w:val="0"/>
              </w:rPr>
            </w:pPr>
            <w:r>
              <w:rPr>
                <w:rFonts w:hint="eastAsia" w:hAnsi="宋体" w:cs="宋体"/>
              </w:rPr>
              <w:t>联系电话：0871-65313510</w:t>
            </w:r>
          </w:p>
        </w:tc>
        <w:tc>
          <w:tcPr>
            <w:tcW w:w="92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3</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项目名称</w:t>
            </w:r>
          </w:p>
        </w:tc>
        <w:tc>
          <w:tcPr>
            <w:tcW w:w="5325" w:type="dxa"/>
            <w:vAlign w:val="center"/>
          </w:tcPr>
          <w:p>
            <w:pPr>
              <w:pStyle w:val="20"/>
              <w:snapToGrid w:val="0"/>
              <w:spacing w:line="360" w:lineRule="auto"/>
              <w:rPr>
                <w:rFonts w:hAnsi="宋体" w:cs="宋体"/>
                <w:color w:val="000000"/>
                <w:kern w:val="0"/>
              </w:rPr>
            </w:pPr>
            <w:r>
              <w:rPr>
                <w:rFonts w:hint="eastAsia" w:hAnsi="宋体" w:cs="宋体"/>
                <w:color w:val="000000"/>
                <w:kern w:val="0"/>
              </w:rPr>
              <w:t>云南省生态环境监测中心云南省土壤环境信息化管理平台运维项目</w:t>
            </w:r>
          </w:p>
        </w:tc>
        <w:tc>
          <w:tcPr>
            <w:tcW w:w="92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4</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项目编号</w:t>
            </w:r>
          </w:p>
        </w:tc>
        <w:tc>
          <w:tcPr>
            <w:tcW w:w="5325" w:type="dxa"/>
            <w:vAlign w:val="center"/>
          </w:tcPr>
          <w:p>
            <w:pPr>
              <w:pStyle w:val="20"/>
              <w:snapToGrid w:val="0"/>
              <w:spacing w:line="360" w:lineRule="auto"/>
              <w:rPr>
                <w:rFonts w:hAnsi="宋体" w:cs="宋体"/>
                <w:color w:val="000000"/>
                <w:kern w:val="0"/>
              </w:rPr>
            </w:pPr>
          </w:p>
        </w:tc>
        <w:tc>
          <w:tcPr>
            <w:tcW w:w="92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5</w:t>
            </w:r>
          </w:p>
        </w:tc>
        <w:tc>
          <w:tcPr>
            <w:tcW w:w="2187" w:type="dxa"/>
            <w:vAlign w:val="center"/>
          </w:tcPr>
          <w:p>
            <w:pPr>
              <w:pStyle w:val="20"/>
              <w:snapToGrid w:val="0"/>
              <w:spacing w:line="360" w:lineRule="auto"/>
              <w:jc w:val="center"/>
              <w:rPr>
                <w:rFonts w:hAnsi="宋体" w:cs="宋体"/>
                <w:color w:val="000000"/>
              </w:rPr>
            </w:pPr>
            <w:r>
              <w:rPr>
                <w:rFonts w:hint="eastAsia" w:hAnsi="宋体" w:cs="宋体"/>
                <w:color w:val="000000"/>
              </w:rPr>
              <w:t>资金来源及预算金额</w:t>
            </w:r>
          </w:p>
        </w:tc>
        <w:tc>
          <w:tcPr>
            <w:tcW w:w="5325"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资金来源：财政性资金</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预算金额：</w:t>
            </w:r>
            <w:r>
              <w:rPr>
                <w:rFonts w:hint="eastAsia" w:ascii="宋体" w:hAnsi="宋体" w:cs="宋体"/>
                <w:color w:val="000000"/>
              </w:rPr>
              <w:t>详见竞争性磋商文件第一章《竞争性磋商公告》</w:t>
            </w:r>
          </w:p>
        </w:tc>
        <w:tc>
          <w:tcPr>
            <w:tcW w:w="929"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2.1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6</w:t>
            </w:r>
          </w:p>
        </w:tc>
        <w:tc>
          <w:tcPr>
            <w:tcW w:w="2187" w:type="dxa"/>
            <w:vAlign w:val="center"/>
          </w:tcPr>
          <w:p>
            <w:pPr>
              <w:pStyle w:val="20"/>
              <w:snapToGrid w:val="0"/>
              <w:spacing w:line="360" w:lineRule="auto"/>
              <w:jc w:val="center"/>
              <w:rPr>
                <w:rFonts w:hAnsi="宋体" w:cs="宋体"/>
                <w:color w:val="000000"/>
              </w:rPr>
            </w:pPr>
            <w:r>
              <w:rPr>
                <w:rFonts w:hint="eastAsia" w:hAnsi="宋体" w:cs="宋体"/>
                <w:color w:val="000000"/>
              </w:rPr>
              <w:t>资金落实情况</w:t>
            </w:r>
          </w:p>
        </w:tc>
        <w:tc>
          <w:tcPr>
            <w:tcW w:w="5325"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已落实</w:t>
            </w:r>
          </w:p>
        </w:tc>
        <w:tc>
          <w:tcPr>
            <w:tcW w:w="929"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2.1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7</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rPr>
              <w:t>采购范围</w:t>
            </w:r>
          </w:p>
        </w:tc>
        <w:tc>
          <w:tcPr>
            <w:tcW w:w="5325" w:type="dxa"/>
            <w:vAlign w:val="center"/>
          </w:tcPr>
          <w:p>
            <w:pPr>
              <w:pStyle w:val="20"/>
              <w:snapToGrid w:val="0"/>
              <w:spacing w:line="360" w:lineRule="auto"/>
              <w:rPr>
                <w:rFonts w:hAnsi="宋体" w:cs="宋体"/>
                <w:color w:val="000000"/>
                <w:kern w:val="0"/>
              </w:rPr>
            </w:pPr>
            <w:r>
              <w:rPr>
                <w:rFonts w:hint="eastAsia" w:hAnsi="宋体" w:cs="宋体"/>
                <w:color w:val="000000"/>
              </w:rPr>
              <w:t>具体详见磋商文件第五章《采购需求》</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3.1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8</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rPr>
              <w:t>合同履行期限</w:t>
            </w:r>
          </w:p>
        </w:tc>
        <w:tc>
          <w:tcPr>
            <w:tcW w:w="5325" w:type="dxa"/>
            <w:vAlign w:val="center"/>
          </w:tcPr>
          <w:p>
            <w:pPr>
              <w:pStyle w:val="20"/>
              <w:snapToGrid w:val="0"/>
              <w:spacing w:line="360" w:lineRule="auto"/>
              <w:rPr>
                <w:rFonts w:hAnsi="宋体" w:cs="宋体"/>
                <w:color w:val="000000"/>
                <w:kern w:val="0"/>
              </w:rPr>
            </w:pPr>
            <w:r>
              <w:rPr>
                <w:rFonts w:hint="eastAsia" w:hAnsi="宋体" w:cs="宋体"/>
                <w:color w:val="000000"/>
              </w:rPr>
              <w:t>详见竞争性磋商文件第一章《竞争性磋商公告》</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3.2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9</w:t>
            </w:r>
          </w:p>
        </w:tc>
        <w:tc>
          <w:tcPr>
            <w:tcW w:w="2187" w:type="dxa"/>
            <w:vAlign w:val="center"/>
          </w:tcPr>
          <w:p>
            <w:pPr>
              <w:pStyle w:val="20"/>
              <w:snapToGrid w:val="0"/>
              <w:spacing w:line="360" w:lineRule="auto"/>
              <w:jc w:val="center"/>
              <w:rPr>
                <w:rFonts w:hAnsi="宋体" w:cs="宋体"/>
                <w:bCs/>
                <w:color w:val="000000"/>
              </w:rPr>
            </w:pPr>
            <w:r>
              <w:rPr>
                <w:rFonts w:hint="eastAsia" w:hAnsi="宋体" w:cs="宋体"/>
                <w:bCs/>
                <w:color w:val="000000"/>
              </w:rPr>
              <w:t>服务地点</w:t>
            </w:r>
          </w:p>
        </w:tc>
        <w:tc>
          <w:tcPr>
            <w:tcW w:w="5325" w:type="dxa"/>
            <w:vAlign w:val="center"/>
          </w:tcPr>
          <w:p>
            <w:pPr>
              <w:pStyle w:val="20"/>
              <w:snapToGrid w:val="0"/>
              <w:spacing w:line="360" w:lineRule="auto"/>
              <w:rPr>
                <w:rFonts w:hAnsi="宋体" w:cs="宋体"/>
                <w:color w:val="000000"/>
              </w:rPr>
            </w:pPr>
            <w:r>
              <w:rPr>
                <w:rFonts w:hint="eastAsia" w:hAnsi="宋体" w:cs="宋体"/>
                <w:color w:val="000000"/>
              </w:rPr>
              <w:t>详见竞争性磋商文件第一章《竞争性磋商公告》</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3.3</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10</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供应商资格要求</w:t>
            </w:r>
          </w:p>
        </w:tc>
        <w:tc>
          <w:tcPr>
            <w:tcW w:w="5325"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详见竞争性磋商文件第一章《竞争性磋商公告》“二、供应商的资格要求”</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4.1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11</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rPr>
              <w:t>为采购项目提供整体设计、规范编制和项目管理、监理、检测等服务的供应商</w:t>
            </w:r>
          </w:p>
        </w:tc>
        <w:tc>
          <w:tcPr>
            <w:tcW w:w="5325"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无</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4.4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12</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是否</w:t>
            </w:r>
            <w:r>
              <w:rPr>
                <w:rFonts w:hint="eastAsia" w:hAnsi="宋体" w:cs="宋体"/>
                <w:color w:val="000000"/>
              </w:rPr>
              <w:t>接受联合体参与磋商</w:t>
            </w:r>
          </w:p>
        </w:tc>
        <w:tc>
          <w:tcPr>
            <w:tcW w:w="5325" w:type="dxa"/>
            <w:vAlign w:val="center"/>
          </w:tcPr>
          <w:p>
            <w:pPr>
              <w:adjustRightInd w:val="0"/>
              <w:snapToGrid w:val="0"/>
              <w:spacing w:line="360" w:lineRule="auto"/>
              <w:rPr>
                <w:rFonts w:ascii="宋体" w:hAnsi="宋体" w:cs="宋体"/>
                <w:color w:val="000000"/>
              </w:rPr>
            </w:pPr>
            <w:r>
              <w:rPr>
                <w:rFonts w:hint="eastAsia" w:ascii="宋体" w:hAnsi="宋体"/>
              </w:rPr>
              <w:sym w:font="Wingdings" w:char="00FE"/>
            </w:r>
            <w:r>
              <w:rPr>
                <w:rFonts w:hint="eastAsia" w:ascii="宋体" w:hAnsi="宋体" w:cs="宋体"/>
                <w:color w:val="000000"/>
              </w:rPr>
              <w:t>不接受</w:t>
            </w:r>
          </w:p>
          <w:p>
            <w:pPr>
              <w:adjustRightInd w:val="0"/>
              <w:snapToGrid w:val="0"/>
              <w:spacing w:line="360" w:lineRule="auto"/>
              <w:rPr>
                <w:rFonts w:ascii="宋体" w:hAnsi="宋体" w:cs="宋体"/>
                <w:color w:val="000000"/>
              </w:rPr>
            </w:pPr>
            <w:r>
              <w:rPr>
                <w:rFonts w:hint="eastAsia" w:ascii="宋体" w:hAnsi="宋体" w:cs="宋体"/>
                <w:color w:val="000000"/>
              </w:rPr>
              <w:t>□接受</w:t>
            </w:r>
          </w:p>
          <w:p>
            <w:pPr>
              <w:adjustRightInd w:val="0"/>
              <w:snapToGrid w:val="0"/>
              <w:spacing w:line="360" w:lineRule="auto"/>
              <w:rPr>
                <w:rFonts w:ascii="宋体" w:hAnsi="宋体" w:cs="宋体"/>
                <w:color w:val="000000"/>
                <w:szCs w:val="21"/>
              </w:rPr>
            </w:pPr>
            <w:r>
              <w:rPr>
                <w:rFonts w:hint="eastAsia" w:ascii="宋体" w:hAnsi="宋体" w:cs="宋体"/>
                <w:color w:val="000000"/>
              </w:rPr>
              <w:t>联合体资质应符合法律法规的规定，并按照联合体协议约定的分工进行认定。</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4.5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13</w:t>
            </w:r>
          </w:p>
        </w:tc>
        <w:tc>
          <w:tcPr>
            <w:tcW w:w="2187" w:type="dxa"/>
            <w:vAlign w:val="center"/>
          </w:tcPr>
          <w:p>
            <w:pPr>
              <w:autoSpaceDE w:val="0"/>
              <w:autoSpaceDN w:val="0"/>
              <w:adjustRightInd w:val="0"/>
              <w:snapToGrid w:val="0"/>
              <w:spacing w:line="360" w:lineRule="auto"/>
              <w:jc w:val="center"/>
              <w:textAlignment w:val="bottom"/>
              <w:rPr>
                <w:rFonts w:ascii="宋体" w:hAnsi="宋体" w:cs="宋体"/>
                <w:color w:val="000000"/>
                <w:szCs w:val="21"/>
              </w:rPr>
            </w:pPr>
            <w:r>
              <w:rPr>
                <w:rFonts w:hint="eastAsia" w:ascii="宋体" w:hAnsi="宋体" w:cs="宋体"/>
                <w:color w:val="000000"/>
                <w:szCs w:val="21"/>
              </w:rPr>
              <w:t>竞争性磋商文件的澄清、修改时间</w:t>
            </w:r>
          </w:p>
        </w:tc>
        <w:tc>
          <w:tcPr>
            <w:tcW w:w="5325" w:type="dxa"/>
            <w:vAlign w:val="center"/>
          </w:tcPr>
          <w:p>
            <w:pPr>
              <w:autoSpaceDE w:val="0"/>
              <w:autoSpaceDN w:val="0"/>
              <w:adjustRightInd w:val="0"/>
              <w:snapToGrid w:val="0"/>
              <w:spacing w:line="360" w:lineRule="auto"/>
              <w:textAlignment w:val="bottom"/>
            </w:pPr>
            <w:r>
              <w:rPr>
                <w:rFonts w:hint="eastAsia" w:ascii="宋体" w:hAnsi="宋体" w:cs="宋体"/>
                <w:szCs w:val="21"/>
              </w:rPr>
              <w:t>澄清或者修改的内容可能影响响应文件编制的，采购人、采购代理机构应当在提交首次响应文件截止时间至少5日前，以书面形式通知所有获取磋商文件的供应商；不足5日的，采购人、采购代理机构应当顺延提交首次响应文件截止时间。</w:t>
            </w:r>
          </w:p>
        </w:tc>
        <w:tc>
          <w:tcPr>
            <w:tcW w:w="929" w:type="dxa"/>
            <w:vAlign w:val="center"/>
          </w:tcPr>
          <w:p>
            <w:pPr>
              <w:pStyle w:val="20"/>
              <w:snapToGrid w:val="0"/>
              <w:spacing w:line="360" w:lineRule="auto"/>
              <w:jc w:val="center"/>
              <w:rPr>
                <w:rFonts w:hAnsi="宋体" w:cs="宋体"/>
              </w:rPr>
            </w:pPr>
            <w:r>
              <w:rPr>
                <w:rFonts w:hint="eastAsia" w:hAnsi="宋体" w:cs="宋体"/>
                <w:color w:val="000000"/>
                <w:kern w:val="0"/>
              </w:rPr>
              <w:t>7.1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141"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14</w:t>
            </w:r>
          </w:p>
        </w:tc>
        <w:tc>
          <w:tcPr>
            <w:tcW w:w="2187" w:type="dxa"/>
            <w:vAlign w:val="center"/>
          </w:tcPr>
          <w:p>
            <w:pPr>
              <w:autoSpaceDE w:val="0"/>
              <w:autoSpaceDN w:val="0"/>
              <w:adjustRightInd w:val="0"/>
              <w:snapToGrid w:val="0"/>
              <w:spacing w:line="360" w:lineRule="auto"/>
              <w:jc w:val="center"/>
              <w:textAlignment w:val="bottom"/>
              <w:rPr>
                <w:rFonts w:ascii="宋体" w:hAnsi="宋体" w:cs="宋体"/>
                <w:color w:val="000000"/>
                <w:kern w:val="0"/>
                <w:szCs w:val="21"/>
              </w:rPr>
            </w:pPr>
            <w:r>
              <w:rPr>
                <w:rFonts w:hint="eastAsia" w:ascii="宋体" w:hAnsi="宋体" w:cs="宋体"/>
                <w:color w:val="000000"/>
                <w:szCs w:val="21"/>
              </w:rPr>
              <w:t>本项目磋商小组根据与供应商磋商情况可能变动的内容</w:t>
            </w:r>
          </w:p>
        </w:tc>
        <w:tc>
          <w:tcPr>
            <w:tcW w:w="5325" w:type="dxa"/>
            <w:vAlign w:val="center"/>
          </w:tcPr>
          <w:p>
            <w:pPr>
              <w:autoSpaceDE w:val="0"/>
              <w:autoSpaceDN w:val="0"/>
              <w:adjustRightInd w:val="0"/>
              <w:snapToGrid w:val="0"/>
              <w:spacing w:line="360" w:lineRule="auto"/>
              <w:textAlignment w:val="bottom"/>
              <w:rPr>
                <w:rFonts w:ascii="宋体" w:hAnsi="宋体" w:cs="宋体"/>
                <w:color w:val="000000"/>
                <w:szCs w:val="21"/>
              </w:rPr>
            </w:pPr>
            <w:r>
              <w:rPr>
                <w:rFonts w:hint="eastAsia" w:ascii="宋体" w:hAnsi="宋体" w:cs="宋体"/>
                <w:color w:val="000000"/>
                <w:szCs w:val="21"/>
              </w:rPr>
              <w:t>在磋商过程中，磋商小组可以根据磋商文件和磋商情况实质性变动采购需求中的技术、服务要求以及合同草案条款，但不得变动磋商文件中的其他内容（资格条件、评审标准）。实质性变动的内容，须经采购人代表确认（并由其法定代表人或授权代表签字或者加盖公章。由授权代表签字的，应当附法定代表人授权书。供应商为自然人的，应当由本人签字并附身份证明）。</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7.5</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985"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15</w:t>
            </w:r>
          </w:p>
        </w:tc>
        <w:tc>
          <w:tcPr>
            <w:tcW w:w="2187" w:type="dxa"/>
            <w:vAlign w:val="center"/>
          </w:tcPr>
          <w:p>
            <w:pPr>
              <w:autoSpaceDE w:val="0"/>
              <w:autoSpaceDN w:val="0"/>
              <w:adjustRightInd w:val="0"/>
              <w:snapToGrid w:val="0"/>
              <w:spacing w:line="360" w:lineRule="auto"/>
              <w:jc w:val="center"/>
              <w:textAlignment w:val="bottom"/>
              <w:rPr>
                <w:rFonts w:ascii="宋体" w:hAnsi="宋体" w:cs="宋体"/>
                <w:color w:val="000000"/>
                <w:szCs w:val="21"/>
              </w:rPr>
            </w:pPr>
            <w:r>
              <w:rPr>
                <w:rFonts w:hint="eastAsia" w:ascii="宋体" w:hAnsi="宋体" w:cs="宋体"/>
                <w:color w:val="000000"/>
                <w:szCs w:val="21"/>
              </w:rPr>
              <w:t>报价要求</w:t>
            </w:r>
          </w:p>
        </w:tc>
        <w:tc>
          <w:tcPr>
            <w:tcW w:w="5325" w:type="dxa"/>
            <w:vAlign w:val="center"/>
          </w:tcPr>
          <w:p>
            <w:pPr>
              <w:autoSpaceDE w:val="0"/>
              <w:autoSpaceDN w:val="0"/>
              <w:adjustRightInd w:val="0"/>
              <w:snapToGrid w:val="0"/>
              <w:spacing w:line="360" w:lineRule="auto"/>
              <w:textAlignment w:val="bottom"/>
              <w:rPr>
                <w:rFonts w:ascii="宋体" w:hAnsi="宋体" w:cs="宋体"/>
                <w:color w:val="000000"/>
                <w:szCs w:val="21"/>
              </w:rPr>
            </w:pPr>
            <w:r>
              <w:rPr>
                <w:rFonts w:hint="eastAsia" w:ascii="宋体" w:hAnsi="宋体" w:cs="宋体"/>
                <w:color w:val="000000"/>
                <w:szCs w:val="21"/>
              </w:rPr>
              <w:t>1、供应商必须对采购需求范围内所有采购内容作出完整唯一的报价，不得缺项、漏项，否则其响应文件按无效处理。</w:t>
            </w:r>
          </w:p>
          <w:p>
            <w:pPr>
              <w:autoSpaceDE w:val="0"/>
              <w:autoSpaceDN w:val="0"/>
              <w:adjustRightInd w:val="0"/>
              <w:snapToGrid w:val="0"/>
              <w:spacing w:line="360" w:lineRule="auto"/>
              <w:textAlignment w:val="bottom"/>
              <w:rPr>
                <w:rFonts w:ascii="宋体" w:hAnsi="宋体" w:cs="宋体"/>
                <w:b/>
                <w:bCs/>
                <w:color w:val="000000"/>
                <w:szCs w:val="21"/>
              </w:rPr>
            </w:pPr>
            <w:r>
              <w:rPr>
                <w:rFonts w:hint="eastAsia" w:ascii="宋体" w:hAnsi="宋体" w:cs="宋体"/>
                <w:b/>
                <w:bCs/>
                <w:color w:val="000000"/>
                <w:szCs w:val="21"/>
              </w:rPr>
              <w:t>2、</w:t>
            </w:r>
            <w:r>
              <w:rPr>
                <w:rFonts w:hint="eastAsia" w:ascii="宋体" w:hAnsi="宋体" w:cs="宋体"/>
                <w:b/>
                <w:color w:val="000000"/>
              </w:rPr>
              <w:t>本项目采用固定总价报价方式进行报价，报价应为供应商完成项目的完税价格</w:t>
            </w:r>
            <w:r>
              <w:rPr>
                <w:rFonts w:hint="eastAsia" w:ascii="宋体" w:hAnsi="宋体" w:cs="宋体"/>
                <w:color w:val="000000"/>
                <w:szCs w:val="21"/>
              </w:rPr>
              <w:t>，供应商应依据磋商文件的要求及有关资料，执行国家规定的现行技术、经济标准、定额及规范，由供应商自行测算出满足采购要求的相关服务总价格。报价均为人民币元，磋商总报价应包括完成本项目所需的一切总费用，</w:t>
            </w:r>
            <w:r>
              <w:rPr>
                <w:rFonts w:hint="eastAsia" w:ascii="宋体" w:hAnsi="宋体" w:cs="宋体"/>
              </w:rPr>
              <w:t>包括但不仅限于完成标的所需的人工费、差旅费、管理费、保险费、税金、采购代理服务费等所有费用，采购人不再另行支付任何费用</w:t>
            </w:r>
            <w:r>
              <w:rPr>
                <w:rFonts w:hint="eastAsia" w:ascii="宋体" w:hAnsi="宋体" w:cs="宋体"/>
                <w:color w:val="000000"/>
                <w:szCs w:val="21"/>
              </w:rPr>
              <w:t>，任何额外费用视作已包括在报价之内。该报价应符合国内行情并能保证供应商完成履行合同所需的一切工作。</w:t>
            </w:r>
            <w:r>
              <w:rPr>
                <w:rFonts w:hint="eastAsia" w:ascii="宋体" w:hAnsi="宋体" w:cs="宋体"/>
                <w:bCs/>
                <w:color w:val="000000"/>
                <w:szCs w:val="21"/>
              </w:rPr>
              <w:t>供应商应充分考虑履约期间内可能发生的各种风险因素，在合同期限内无论任何原因价格均不作调整。</w:t>
            </w:r>
          </w:p>
          <w:p>
            <w:pPr>
              <w:autoSpaceDE w:val="0"/>
              <w:autoSpaceDN w:val="0"/>
              <w:adjustRightInd w:val="0"/>
              <w:snapToGrid w:val="0"/>
              <w:spacing w:line="360" w:lineRule="auto"/>
              <w:textAlignment w:val="bottom"/>
              <w:rPr>
                <w:rFonts w:ascii="宋体" w:hAnsi="宋体" w:cs="宋体"/>
                <w:b/>
                <w:bCs/>
                <w:color w:val="000000"/>
                <w:szCs w:val="21"/>
              </w:rPr>
            </w:pPr>
            <w:r>
              <w:rPr>
                <w:rFonts w:hint="eastAsia" w:ascii="宋体" w:hAnsi="宋体" w:cs="宋体"/>
                <w:b/>
                <w:bCs/>
                <w:color w:val="000000"/>
                <w:szCs w:val="21"/>
              </w:rPr>
              <w:t>3、最高限价：50万元；供应商最后总报价超过最高限价的，其响应文件按无效文件处理。</w:t>
            </w:r>
          </w:p>
          <w:p>
            <w:pPr>
              <w:autoSpaceDE w:val="0"/>
              <w:autoSpaceDN w:val="0"/>
              <w:adjustRightInd w:val="0"/>
              <w:snapToGrid w:val="0"/>
              <w:spacing w:line="360" w:lineRule="auto"/>
              <w:textAlignment w:val="bottom"/>
              <w:rPr>
                <w:rFonts w:ascii="宋体" w:hAnsi="宋体" w:cs="宋体"/>
                <w:b/>
                <w:bCs/>
                <w:color w:val="000000"/>
                <w:szCs w:val="21"/>
              </w:rPr>
            </w:pPr>
            <w:r>
              <w:rPr>
                <w:rFonts w:hint="eastAsia" w:ascii="宋体" w:hAnsi="宋体" w:cs="宋体"/>
                <w:b/>
                <w:bCs/>
                <w:color w:val="000000"/>
                <w:szCs w:val="21"/>
              </w:rPr>
              <w:t>4、本项目设置两轮报价，第一轮报价为各供应商提交的响应文件中的报价，第二轮报价为磋商时候报价，只有通过符合性审查的供应商才能进入磋商程序并进行第二轮报价，第二轮报价为最后报价。</w:t>
            </w:r>
          </w:p>
          <w:p>
            <w:pPr>
              <w:autoSpaceDE w:val="0"/>
              <w:autoSpaceDN w:val="0"/>
              <w:adjustRightInd w:val="0"/>
              <w:snapToGrid w:val="0"/>
              <w:spacing w:line="360" w:lineRule="auto"/>
              <w:textAlignment w:val="bottom"/>
              <w:rPr>
                <w:rFonts w:ascii="宋体" w:hAnsi="宋体" w:cs="宋体"/>
                <w:b/>
                <w:color w:val="000000"/>
                <w:szCs w:val="21"/>
              </w:rPr>
            </w:pPr>
            <w:r>
              <w:rPr>
                <w:rFonts w:hint="eastAsia" w:ascii="宋体" w:hAnsi="宋体" w:cs="宋体"/>
                <w:b/>
                <w:color w:val="000000"/>
                <w:szCs w:val="21"/>
              </w:rPr>
              <w:t>5、最后报价文件应由法定代表人或授权代表签字，在规定的时间统一密封递交。已递交的最后报价文件若出现含义不明确、同类问题表述不一致或者签署不完整、有明显文字和计算错误的，可以进行澄清和补充，但不得改变最后报价文件中报价等实质性内容（算术性错误修正的除外）。</w:t>
            </w:r>
          </w:p>
          <w:p>
            <w:pPr>
              <w:autoSpaceDE w:val="0"/>
              <w:autoSpaceDN w:val="0"/>
              <w:adjustRightInd w:val="0"/>
              <w:snapToGrid w:val="0"/>
              <w:spacing w:line="360" w:lineRule="auto"/>
              <w:textAlignment w:val="bottom"/>
              <w:rPr>
                <w:rFonts w:ascii="宋体" w:hAnsi="宋体" w:cs="宋体"/>
                <w:color w:val="000000"/>
                <w:szCs w:val="21"/>
              </w:rPr>
            </w:pPr>
            <w:r>
              <w:rPr>
                <w:rFonts w:hint="eastAsia" w:ascii="宋体" w:hAnsi="宋体" w:cs="宋体"/>
                <w:color w:val="000000"/>
                <w:szCs w:val="21"/>
              </w:rPr>
              <w:t>6、供应商不得哄抬报价，也不应低于成本价（或进价）报价。磋商小组认为供应商的报价明显不合理或者低于成本，有可能影响服务质量和不能诚信履约的，将要求其在规定的期限内提供书面文件予以解释说明，并提交相关证明材料。否则，磋商小组可以取消该供应商的成交候选资格。</w:t>
            </w:r>
          </w:p>
          <w:p>
            <w:pPr>
              <w:autoSpaceDE w:val="0"/>
              <w:autoSpaceDN w:val="0"/>
              <w:adjustRightInd w:val="0"/>
              <w:snapToGrid w:val="0"/>
              <w:spacing w:line="360" w:lineRule="auto"/>
              <w:textAlignment w:val="bottom"/>
              <w:rPr>
                <w:rFonts w:ascii="宋体" w:hAnsi="宋体" w:cs="宋体"/>
                <w:color w:val="000000"/>
                <w:szCs w:val="21"/>
              </w:rPr>
            </w:pPr>
            <w:r>
              <w:rPr>
                <w:rFonts w:hint="eastAsia" w:ascii="宋体" w:hAnsi="宋体" w:cs="宋体"/>
                <w:color w:val="000000"/>
                <w:szCs w:val="21"/>
              </w:rPr>
              <w:t>7、供应商应保证其提供的货物或者服务在采购人使用期间不受第三方可能提出的侵犯其所有权、知识产权、商标权、专利权、著作权等相关权利的起诉。</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10.2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16</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响应文件有效期</w:t>
            </w:r>
          </w:p>
        </w:tc>
        <w:tc>
          <w:tcPr>
            <w:tcW w:w="5325" w:type="dxa"/>
            <w:vAlign w:val="center"/>
          </w:tcPr>
          <w:p>
            <w:pPr>
              <w:pStyle w:val="20"/>
              <w:snapToGrid w:val="0"/>
              <w:spacing w:line="360" w:lineRule="auto"/>
              <w:rPr>
                <w:rFonts w:hAnsi="宋体" w:cs="宋体"/>
                <w:color w:val="000000"/>
                <w:kern w:val="0"/>
              </w:rPr>
            </w:pPr>
            <w:r>
              <w:rPr>
                <w:rFonts w:hint="eastAsia" w:hAnsi="宋体" w:cs="宋体"/>
                <w:color w:val="000000"/>
                <w:kern w:val="0"/>
              </w:rPr>
              <w:t>递交响应文件截止之日起</w:t>
            </w:r>
            <w:r>
              <w:rPr>
                <w:rFonts w:hint="eastAsia" w:hAnsi="宋体" w:cs="宋体"/>
                <w:color w:val="000000"/>
                <w:kern w:val="0"/>
                <w:u w:val="single"/>
              </w:rPr>
              <w:t>90</w:t>
            </w:r>
            <w:r>
              <w:rPr>
                <w:rFonts w:hint="eastAsia" w:hAnsi="宋体" w:cs="宋体"/>
                <w:color w:val="000000"/>
                <w:kern w:val="0"/>
              </w:rPr>
              <w:t>天</w:t>
            </w:r>
          </w:p>
        </w:tc>
        <w:tc>
          <w:tcPr>
            <w:tcW w:w="92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11.1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17</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响应文件份数</w:t>
            </w:r>
          </w:p>
        </w:tc>
        <w:tc>
          <w:tcPr>
            <w:tcW w:w="5325" w:type="dxa"/>
            <w:vAlign w:val="center"/>
          </w:tcPr>
          <w:p>
            <w:pPr>
              <w:adjustRightInd w:val="0"/>
              <w:snapToGrid w:val="0"/>
              <w:spacing w:line="360" w:lineRule="auto"/>
              <w:rPr>
                <w:rFonts w:ascii="宋体" w:hAnsi="宋体" w:cs="宋体"/>
                <w:color w:val="000000"/>
              </w:rPr>
            </w:pPr>
            <w:r>
              <w:rPr>
                <w:rFonts w:hint="eastAsia" w:ascii="宋体" w:hAnsi="宋体" w:cs="宋体"/>
                <w:color w:val="000000"/>
              </w:rPr>
              <w:t>按“政采云”要求，上传电子响应文件壹份。供应商应安装“政采云”投标客户端，根据竞争性磋商文件格式编制响应文件，生成加密标书后进行上传。</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12.4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289"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18</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磋商保证金</w:t>
            </w:r>
          </w:p>
        </w:tc>
        <w:tc>
          <w:tcPr>
            <w:tcW w:w="5325" w:type="dxa"/>
            <w:vAlign w:val="center"/>
          </w:tcPr>
          <w:p>
            <w:pPr>
              <w:pStyle w:val="20"/>
              <w:snapToGrid w:val="0"/>
              <w:spacing w:line="360" w:lineRule="auto"/>
              <w:rPr>
                <w:rFonts w:hAnsi="宋体" w:cs="宋体"/>
                <w:color w:val="000000"/>
                <w:szCs w:val="24"/>
              </w:rPr>
            </w:pPr>
            <w:r>
              <w:rPr>
                <w:rFonts w:hint="eastAsia" w:hAnsi="宋体" w:cs="宋体"/>
                <w:color w:val="000000"/>
                <w:szCs w:val="24"/>
              </w:rPr>
              <w:t>本项目收取磋商响应保证金¥3000.00（人民币叁仟元整）。</w:t>
            </w:r>
          </w:p>
          <w:p>
            <w:pPr>
              <w:pStyle w:val="20"/>
              <w:snapToGrid w:val="0"/>
              <w:spacing w:line="360" w:lineRule="auto"/>
              <w:rPr>
                <w:rFonts w:hAnsi="宋体" w:cs="宋体"/>
                <w:color w:val="000000"/>
                <w:szCs w:val="24"/>
              </w:rPr>
            </w:pPr>
            <w:r>
              <w:rPr>
                <w:rFonts w:hint="eastAsia" w:hAnsi="宋体" w:cs="宋体"/>
                <w:color w:val="000000"/>
                <w:szCs w:val="24"/>
              </w:rPr>
              <w:t>提交方式：网银、电汇、转账、支票、汇票、本票或者金融机构、担保机构出具的保函等非现金方式。</w:t>
            </w:r>
          </w:p>
          <w:p>
            <w:pPr>
              <w:pStyle w:val="20"/>
              <w:snapToGrid w:val="0"/>
              <w:spacing w:line="360" w:lineRule="auto"/>
              <w:rPr>
                <w:rFonts w:hAnsi="宋体" w:cs="宋体"/>
                <w:color w:val="000000"/>
                <w:szCs w:val="24"/>
              </w:rPr>
            </w:pPr>
            <w:r>
              <w:rPr>
                <w:rFonts w:hint="eastAsia" w:hAnsi="宋体" w:cs="宋体"/>
                <w:color w:val="000000"/>
                <w:szCs w:val="24"/>
              </w:rPr>
              <w:t>提交截止时间（到账时间）：同提交响应文件截止时间。</w:t>
            </w:r>
          </w:p>
          <w:p>
            <w:pPr>
              <w:pStyle w:val="20"/>
              <w:snapToGrid w:val="0"/>
              <w:spacing w:line="360" w:lineRule="auto"/>
              <w:rPr>
                <w:rFonts w:hAnsi="宋体" w:cs="宋体"/>
                <w:color w:val="000000"/>
                <w:szCs w:val="24"/>
              </w:rPr>
            </w:pPr>
            <w:r>
              <w:rPr>
                <w:rFonts w:hint="eastAsia" w:hAnsi="宋体" w:cs="宋体"/>
                <w:color w:val="000000"/>
                <w:szCs w:val="24"/>
              </w:rPr>
              <w:t>保金按规定数额从供应商基本账户直接转至：</w:t>
            </w:r>
          </w:p>
          <w:p>
            <w:pPr>
              <w:pStyle w:val="20"/>
              <w:snapToGrid w:val="0"/>
              <w:spacing w:line="360" w:lineRule="auto"/>
              <w:rPr>
                <w:rFonts w:hAnsi="宋体" w:cs="宋体"/>
                <w:color w:val="000000"/>
                <w:szCs w:val="24"/>
              </w:rPr>
            </w:pPr>
            <w:r>
              <w:rPr>
                <w:rFonts w:hint="eastAsia" w:hAnsi="宋体" w:cs="宋体"/>
                <w:color w:val="000000"/>
                <w:szCs w:val="24"/>
              </w:rPr>
              <w:t xml:space="preserve">开户名称：云南中云招标咨询有限公司 </w:t>
            </w:r>
          </w:p>
          <w:p>
            <w:pPr>
              <w:pStyle w:val="20"/>
              <w:snapToGrid w:val="0"/>
              <w:spacing w:line="360" w:lineRule="auto"/>
              <w:rPr>
                <w:rFonts w:hAnsi="宋体" w:cs="宋体"/>
                <w:color w:val="000000"/>
                <w:szCs w:val="24"/>
              </w:rPr>
            </w:pPr>
            <w:r>
              <w:rPr>
                <w:rFonts w:hint="eastAsia" w:hAnsi="宋体" w:cs="宋体"/>
                <w:color w:val="000000"/>
                <w:szCs w:val="24"/>
              </w:rPr>
              <w:t>开户银行：平安银行昆明南亚支行</w:t>
            </w:r>
          </w:p>
          <w:p>
            <w:pPr>
              <w:pStyle w:val="20"/>
              <w:snapToGrid w:val="0"/>
              <w:spacing w:line="360" w:lineRule="auto"/>
              <w:rPr>
                <w:rFonts w:hAnsi="宋体" w:cs="宋体"/>
                <w:color w:val="000000"/>
                <w:szCs w:val="24"/>
              </w:rPr>
            </w:pPr>
            <w:r>
              <w:rPr>
                <w:rFonts w:hint="eastAsia" w:hAnsi="宋体" w:cs="宋体"/>
                <w:color w:val="000000"/>
                <w:szCs w:val="24"/>
              </w:rPr>
              <w:t xml:space="preserve">账号： </w:t>
            </w:r>
          </w:p>
          <w:p>
            <w:pPr>
              <w:pStyle w:val="20"/>
              <w:snapToGrid w:val="0"/>
              <w:spacing w:line="360" w:lineRule="auto"/>
              <w:rPr>
                <w:rFonts w:hAnsi="宋体" w:cs="宋体"/>
                <w:color w:val="000000"/>
                <w:szCs w:val="24"/>
              </w:rPr>
            </w:pPr>
            <w:r>
              <w:rPr>
                <w:rFonts w:hint="eastAsia" w:hAnsi="宋体" w:cs="宋体"/>
                <w:color w:val="000000"/>
                <w:szCs w:val="24"/>
              </w:rPr>
              <w:t>财务部联系电话：18487240201</w:t>
            </w:r>
          </w:p>
          <w:p>
            <w:pPr>
              <w:pStyle w:val="20"/>
              <w:snapToGrid w:val="0"/>
              <w:spacing w:line="360" w:lineRule="auto"/>
              <w:rPr>
                <w:rFonts w:hAnsi="宋体" w:cs="宋体"/>
                <w:color w:val="000000"/>
                <w:szCs w:val="24"/>
              </w:rPr>
            </w:pPr>
            <w:r>
              <w:rPr>
                <w:rFonts w:hint="eastAsia" w:hAnsi="宋体" w:cs="宋体"/>
                <w:color w:val="000000"/>
                <w:szCs w:val="24"/>
              </w:rPr>
              <w:t>保证金缴纳说明：</w:t>
            </w:r>
          </w:p>
          <w:p>
            <w:pPr>
              <w:pStyle w:val="20"/>
              <w:snapToGrid w:val="0"/>
              <w:spacing w:line="360" w:lineRule="auto"/>
              <w:rPr>
                <w:rFonts w:hAnsi="宋体" w:cs="宋体"/>
                <w:color w:val="000000"/>
                <w:szCs w:val="24"/>
              </w:rPr>
            </w:pPr>
            <w:r>
              <w:rPr>
                <w:rFonts w:hint="eastAsia" w:hAnsi="宋体" w:cs="宋体"/>
                <w:color w:val="000000"/>
                <w:szCs w:val="24"/>
              </w:rPr>
              <w:t>1、网银或电汇形式交纳的，底单即为交纳凭证（须注明项目编号）；以保函形式交纳的，保函内明确的受益人须为采购人，且须在提交响应文件时同时上传电子保函；以支票、汇票、本票方式提交的，供应商须自行进账，进账后回单即为缴纳凭证。</w:t>
            </w:r>
          </w:p>
          <w:p>
            <w:pPr>
              <w:adjustRightInd w:val="0"/>
              <w:snapToGrid w:val="0"/>
              <w:spacing w:line="360" w:lineRule="auto"/>
              <w:jc w:val="left"/>
              <w:rPr>
                <w:rFonts w:ascii="宋体" w:hAnsi="宋体" w:cs="宋体"/>
                <w:spacing w:val="-8"/>
                <w:szCs w:val="21"/>
              </w:rPr>
            </w:pPr>
            <w:r>
              <w:rPr>
                <w:rFonts w:hint="eastAsia" w:ascii="宋体" w:hAnsi="宋体" w:cs="宋体"/>
                <w:color w:val="000000"/>
              </w:rPr>
              <w:t>2、供应商未按照竞争性磋商文件要求提交磋商保证金的，响应文件无效。</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13.1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34"/>
              <w:adjustRightInd w:val="0"/>
              <w:snapToGrid w:val="0"/>
              <w:spacing w:line="360" w:lineRule="auto"/>
              <w:jc w:val="center"/>
              <w:rPr>
                <w:rFonts w:hAnsi="宋体" w:cs="宋体"/>
                <w:color w:val="000000"/>
                <w:kern w:val="2"/>
                <w:sz w:val="21"/>
                <w:szCs w:val="21"/>
              </w:rPr>
            </w:pPr>
            <w:r>
              <w:rPr>
                <w:rFonts w:hint="eastAsia" w:hAnsi="宋体" w:cs="宋体"/>
                <w:color w:val="000000"/>
                <w:kern w:val="2"/>
                <w:sz w:val="21"/>
                <w:szCs w:val="21"/>
              </w:rPr>
              <w:t>19</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提交响应文件的截止时间</w:t>
            </w:r>
          </w:p>
        </w:tc>
        <w:tc>
          <w:tcPr>
            <w:tcW w:w="5325" w:type="dxa"/>
            <w:vAlign w:val="center"/>
          </w:tcPr>
          <w:p>
            <w:pPr>
              <w:pStyle w:val="20"/>
              <w:snapToGrid w:val="0"/>
              <w:spacing w:line="360" w:lineRule="auto"/>
              <w:rPr>
                <w:rFonts w:hAnsi="宋体" w:cs="宋体"/>
                <w:color w:val="000000"/>
                <w:kern w:val="0"/>
              </w:rPr>
            </w:pPr>
            <w:r>
              <w:rPr>
                <w:rFonts w:hint="eastAsia" w:hAnsi="宋体" w:cs="宋体"/>
                <w:color w:val="000000"/>
              </w:rPr>
              <w:t>详见竞争性磋商文件第一章《竞争性磋商公告》</w:t>
            </w:r>
          </w:p>
        </w:tc>
        <w:tc>
          <w:tcPr>
            <w:tcW w:w="929" w:type="dxa"/>
            <w:vAlign w:val="center"/>
          </w:tcPr>
          <w:p>
            <w:pPr>
              <w:pStyle w:val="34"/>
              <w:adjustRightInd w:val="0"/>
              <w:snapToGrid w:val="0"/>
              <w:spacing w:line="360" w:lineRule="auto"/>
              <w:jc w:val="center"/>
              <w:rPr>
                <w:rFonts w:hAnsi="宋体" w:cs="宋体"/>
                <w:color w:val="000000"/>
              </w:rPr>
            </w:pPr>
            <w:r>
              <w:rPr>
                <w:rFonts w:hint="eastAsia" w:hAnsi="宋体" w:cs="宋体"/>
                <w:color w:val="000000"/>
                <w:kern w:val="2"/>
                <w:sz w:val="21"/>
                <w:szCs w:val="21"/>
              </w:rPr>
              <w:t>15.1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34"/>
              <w:adjustRightInd w:val="0"/>
              <w:snapToGrid w:val="0"/>
              <w:spacing w:line="360" w:lineRule="auto"/>
              <w:jc w:val="center"/>
              <w:rPr>
                <w:rFonts w:hAnsi="宋体" w:cs="宋体"/>
                <w:color w:val="000000"/>
                <w:kern w:val="2"/>
                <w:sz w:val="21"/>
                <w:szCs w:val="21"/>
              </w:rPr>
            </w:pPr>
            <w:r>
              <w:rPr>
                <w:rFonts w:hint="eastAsia" w:hAnsi="宋体" w:cs="宋体"/>
                <w:color w:val="000000"/>
                <w:kern w:val="2"/>
                <w:sz w:val="21"/>
                <w:szCs w:val="21"/>
              </w:rPr>
              <w:t>20</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提交响应文件地点</w:t>
            </w:r>
          </w:p>
        </w:tc>
        <w:tc>
          <w:tcPr>
            <w:tcW w:w="5325" w:type="dxa"/>
            <w:vAlign w:val="center"/>
          </w:tcPr>
          <w:p>
            <w:pPr>
              <w:pStyle w:val="20"/>
              <w:snapToGrid w:val="0"/>
              <w:spacing w:line="360" w:lineRule="auto"/>
              <w:ind w:left="29" w:hanging="29" w:hangingChars="14"/>
              <w:jc w:val="both"/>
              <w:rPr>
                <w:rFonts w:hAnsi="宋体" w:cs="宋体"/>
                <w:color w:val="000000"/>
                <w:kern w:val="0"/>
              </w:rPr>
            </w:pPr>
            <w:r>
              <w:rPr>
                <w:rFonts w:hint="eastAsia" w:hAnsi="宋体" w:cs="宋体"/>
                <w:color w:val="000000"/>
              </w:rPr>
              <w:t>详见竞争性磋商文件第一章《竞争性磋商公告》</w:t>
            </w:r>
          </w:p>
        </w:tc>
        <w:tc>
          <w:tcPr>
            <w:tcW w:w="929" w:type="dxa"/>
            <w:vAlign w:val="center"/>
          </w:tcPr>
          <w:p>
            <w:pPr>
              <w:pStyle w:val="34"/>
              <w:adjustRightInd w:val="0"/>
              <w:snapToGrid w:val="0"/>
              <w:spacing w:line="360" w:lineRule="auto"/>
              <w:jc w:val="center"/>
              <w:rPr>
                <w:rFonts w:hAnsi="宋体" w:cs="宋体"/>
                <w:color w:val="000000"/>
              </w:rPr>
            </w:pPr>
            <w:r>
              <w:rPr>
                <w:rFonts w:hint="eastAsia" w:hAnsi="宋体" w:cs="宋体"/>
                <w:color w:val="000000"/>
                <w:kern w:val="2"/>
                <w:sz w:val="21"/>
                <w:szCs w:val="21"/>
              </w:rPr>
              <w:t>15.2</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97" w:hRule="atLeast"/>
          <w:jc w:val="center"/>
        </w:trPr>
        <w:tc>
          <w:tcPr>
            <w:tcW w:w="689" w:type="dxa"/>
            <w:vAlign w:val="center"/>
          </w:tcPr>
          <w:p>
            <w:pPr>
              <w:pStyle w:val="34"/>
              <w:adjustRightInd w:val="0"/>
              <w:snapToGrid w:val="0"/>
              <w:spacing w:line="360" w:lineRule="auto"/>
              <w:jc w:val="center"/>
              <w:rPr>
                <w:rFonts w:hAnsi="宋体" w:cs="宋体"/>
                <w:color w:val="000000"/>
                <w:kern w:val="2"/>
                <w:sz w:val="21"/>
                <w:szCs w:val="21"/>
              </w:rPr>
            </w:pPr>
            <w:r>
              <w:rPr>
                <w:rFonts w:hint="eastAsia" w:hAnsi="宋体" w:cs="宋体"/>
                <w:color w:val="000000"/>
                <w:kern w:val="2"/>
                <w:sz w:val="21"/>
                <w:szCs w:val="21"/>
              </w:rPr>
              <w:t>21</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是否退还响应文件</w:t>
            </w:r>
          </w:p>
        </w:tc>
        <w:tc>
          <w:tcPr>
            <w:tcW w:w="5325" w:type="dxa"/>
            <w:vAlign w:val="center"/>
          </w:tcPr>
          <w:p>
            <w:pPr>
              <w:pStyle w:val="20"/>
              <w:snapToGrid w:val="0"/>
              <w:spacing w:line="360" w:lineRule="auto"/>
              <w:rPr>
                <w:rFonts w:hAnsi="宋体" w:cs="宋体"/>
                <w:color w:val="000000"/>
                <w:kern w:val="0"/>
              </w:rPr>
            </w:pPr>
            <w:r>
              <w:rPr>
                <w:rFonts w:hint="eastAsia" w:hAnsi="宋体" w:cs="宋体"/>
                <w:color w:val="000000"/>
                <w:kern w:val="0"/>
              </w:rPr>
              <w:t>否</w:t>
            </w:r>
          </w:p>
        </w:tc>
        <w:tc>
          <w:tcPr>
            <w:tcW w:w="929" w:type="dxa"/>
            <w:vAlign w:val="center"/>
          </w:tcPr>
          <w:p>
            <w:pPr>
              <w:pStyle w:val="34"/>
              <w:adjustRightInd w:val="0"/>
              <w:snapToGrid w:val="0"/>
              <w:spacing w:line="360" w:lineRule="auto"/>
              <w:jc w:val="center"/>
              <w:rPr>
                <w:rFonts w:hAnsi="宋体" w:cs="宋体"/>
                <w:color w:val="000000"/>
              </w:rPr>
            </w:pPr>
            <w:r>
              <w:rPr>
                <w:rFonts w:hint="eastAsia" w:hAnsi="宋体" w:cs="宋体"/>
                <w:color w:val="000000"/>
                <w:kern w:val="2"/>
                <w:sz w:val="21"/>
                <w:szCs w:val="21"/>
              </w:rPr>
              <w:t>15.3</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22</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磋商时间和地点</w:t>
            </w:r>
          </w:p>
        </w:tc>
        <w:tc>
          <w:tcPr>
            <w:tcW w:w="5325" w:type="dxa"/>
            <w:vAlign w:val="center"/>
          </w:tcPr>
          <w:p>
            <w:pPr>
              <w:pStyle w:val="20"/>
              <w:snapToGrid w:val="0"/>
              <w:spacing w:line="360" w:lineRule="auto"/>
              <w:jc w:val="both"/>
              <w:rPr>
                <w:rFonts w:hAnsi="宋体" w:cs="宋体"/>
                <w:color w:val="000000"/>
                <w:kern w:val="0"/>
              </w:rPr>
            </w:pPr>
            <w:r>
              <w:rPr>
                <w:rFonts w:hint="eastAsia" w:hAnsi="宋体" w:cs="宋体"/>
                <w:color w:val="000000"/>
                <w:kern w:val="0"/>
              </w:rPr>
              <w:t>磋商时间：同递交响应文件的截止时间</w:t>
            </w:r>
          </w:p>
          <w:p>
            <w:pPr>
              <w:pStyle w:val="20"/>
              <w:snapToGrid w:val="0"/>
              <w:spacing w:line="360" w:lineRule="auto"/>
              <w:rPr>
                <w:rFonts w:hAnsi="宋体" w:cs="宋体"/>
                <w:color w:val="000000"/>
                <w:kern w:val="0"/>
              </w:rPr>
            </w:pPr>
            <w:r>
              <w:rPr>
                <w:rFonts w:hint="eastAsia" w:hAnsi="宋体" w:cs="宋体"/>
                <w:color w:val="000000"/>
                <w:kern w:val="0"/>
              </w:rPr>
              <w:t>磋商地点：同递交响应文件地点</w:t>
            </w:r>
          </w:p>
        </w:tc>
        <w:tc>
          <w:tcPr>
            <w:tcW w:w="92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16.1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pPr>
            <w:r>
              <w:rPr>
                <w:rFonts w:hint="eastAsia" w:hAnsi="宋体" w:cs="宋体"/>
                <w:color w:val="000000"/>
                <w:kern w:val="0"/>
              </w:rPr>
              <w:t>23</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磋商程序和方法</w:t>
            </w:r>
          </w:p>
        </w:tc>
        <w:tc>
          <w:tcPr>
            <w:tcW w:w="5325" w:type="dxa"/>
            <w:vAlign w:val="center"/>
          </w:tcPr>
          <w:p>
            <w:pPr>
              <w:pStyle w:val="20"/>
              <w:snapToGrid w:val="0"/>
              <w:spacing w:line="360" w:lineRule="auto"/>
              <w:rPr>
                <w:rFonts w:hAnsi="宋体" w:cs="宋体"/>
                <w:color w:val="000000"/>
                <w:kern w:val="0"/>
              </w:rPr>
            </w:pPr>
            <w:r>
              <w:rPr>
                <w:rFonts w:hint="eastAsia" w:hAnsi="宋体" w:cs="宋体"/>
                <w:color w:val="000000"/>
                <w:kern w:val="0"/>
              </w:rPr>
              <w:t>详见</w:t>
            </w:r>
            <w:r>
              <w:rPr>
                <w:rFonts w:hint="eastAsia" w:hAnsi="宋体" w:cs="宋体"/>
                <w:color w:val="000000"/>
              </w:rPr>
              <w:t>竞争性磋商文件</w:t>
            </w:r>
            <w:r>
              <w:rPr>
                <w:rFonts w:hint="eastAsia" w:hAnsi="宋体" w:cs="宋体"/>
                <w:color w:val="000000"/>
                <w:kern w:val="0"/>
              </w:rPr>
              <w:t>第六章《磋商程序和方法》</w:t>
            </w:r>
          </w:p>
        </w:tc>
        <w:tc>
          <w:tcPr>
            <w:tcW w:w="92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16.4</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24</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履约保证金</w:t>
            </w:r>
          </w:p>
        </w:tc>
        <w:tc>
          <w:tcPr>
            <w:tcW w:w="5325" w:type="dxa"/>
            <w:vAlign w:val="center"/>
          </w:tcPr>
          <w:p>
            <w:pPr>
              <w:pStyle w:val="20"/>
              <w:snapToGrid w:val="0"/>
              <w:spacing w:line="360" w:lineRule="auto"/>
              <w:rPr>
                <w:rFonts w:hAnsi="宋体"/>
              </w:rPr>
            </w:pPr>
            <w:r>
              <w:rPr>
                <w:rFonts w:hint="eastAsia" w:hAnsi="宋体"/>
              </w:rPr>
              <w:sym w:font="Wingdings" w:char="00A8"/>
            </w:r>
            <w:r>
              <w:rPr>
                <w:rFonts w:hint="eastAsia" w:hAnsi="宋体"/>
              </w:rPr>
              <w:t>不收取</w:t>
            </w:r>
          </w:p>
          <w:p>
            <w:pPr>
              <w:pStyle w:val="20"/>
              <w:snapToGrid w:val="0"/>
              <w:spacing w:line="360" w:lineRule="auto"/>
              <w:rPr>
                <w:rFonts w:hAnsi="宋体" w:cs="宋体"/>
                <w:color w:val="000000"/>
              </w:rPr>
            </w:pPr>
            <w:r>
              <w:rPr>
                <w:rFonts w:hint="eastAsia" w:hAnsi="宋体"/>
              </w:rPr>
              <w:t>☑收取，</w:t>
            </w:r>
            <w:r>
              <w:rPr>
                <w:rFonts w:hint="eastAsia" w:hAnsi="宋体" w:cs="宋体"/>
                <w:color w:val="000000"/>
              </w:rPr>
              <w:t>具体要求如下：</w:t>
            </w:r>
          </w:p>
          <w:p>
            <w:pPr>
              <w:pStyle w:val="20"/>
              <w:snapToGrid w:val="0"/>
              <w:spacing w:line="360" w:lineRule="auto"/>
              <w:rPr>
                <w:rFonts w:hAnsi="宋体" w:cs="宋体"/>
                <w:color w:val="000000"/>
                <w:kern w:val="0"/>
              </w:rPr>
            </w:pPr>
            <w:r>
              <w:rPr>
                <w:rFonts w:hint="eastAsia" w:hAnsi="宋体" w:cs="宋体"/>
                <w:color w:val="000000"/>
                <w:kern w:val="0"/>
              </w:rPr>
              <w:t>1.缴纳金额：合同总价的5%</w:t>
            </w:r>
          </w:p>
          <w:p>
            <w:pPr>
              <w:pStyle w:val="20"/>
              <w:snapToGrid w:val="0"/>
              <w:spacing w:line="360" w:lineRule="auto"/>
              <w:rPr>
                <w:rFonts w:hAnsi="宋体" w:cs="宋体"/>
                <w:color w:val="000000"/>
                <w:kern w:val="0"/>
              </w:rPr>
            </w:pPr>
            <w:r>
              <w:rPr>
                <w:rFonts w:hint="eastAsia" w:hAnsi="宋体" w:cs="宋体"/>
                <w:color w:val="000000"/>
                <w:kern w:val="0"/>
              </w:rPr>
              <w:t>2.缴纳时间：签订合同前5个工作日内。</w:t>
            </w:r>
          </w:p>
          <w:p>
            <w:pPr>
              <w:pStyle w:val="20"/>
              <w:snapToGrid w:val="0"/>
              <w:spacing w:line="360" w:lineRule="auto"/>
              <w:rPr>
                <w:rFonts w:hAnsi="宋体" w:cs="宋体"/>
                <w:color w:val="000000"/>
                <w:kern w:val="0"/>
              </w:rPr>
            </w:pPr>
            <w:r>
              <w:rPr>
                <w:rFonts w:hint="eastAsia" w:hAnsi="宋体" w:cs="宋体"/>
                <w:color w:val="000000"/>
                <w:kern w:val="0"/>
              </w:rPr>
              <w:t>3.缴纳方式：支票、汇票、本票或者金融机构、担保机构出具的保函等非现金形式提交。</w:t>
            </w:r>
            <w:r>
              <w:rPr>
                <w:rFonts w:hint="eastAsia"/>
              </w:rPr>
              <w:t xml:space="preserve"> </w:t>
            </w:r>
          </w:p>
        </w:tc>
        <w:tc>
          <w:tcPr>
            <w:tcW w:w="92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22.1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25</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rPr>
              <w:t>接收质疑</w:t>
            </w:r>
          </w:p>
        </w:tc>
        <w:tc>
          <w:tcPr>
            <w:tcW w:w="5325" w:type="dxa"/>
            <w:vAlign w:val="center"/>
          </w:tcPr>
          <w:p>
            <w:pPr>
              <w:wordWrap w:val="0"/>
              <w:adjustRightInd w:val="0"/>
              <w:snapToGrid w:val="0"/>
              <w:spacing w:line="360" w:lineRule="auto"/>
              <w:rPr>
                <w:rFonts w:ascii="宋体" w:hAnsi="宋体" w:cs="宋体"/>
                <w:color w:val="000000"/>
              </w:rPr>
            </w:pPr>
            <w:r>
              <w:rPr>
                <w:rFonts w:hint="eastAsia" w:ascii="宋体" w:hAnsi="宋体" w:cs="宋体"/>
                <w:color w:val="000000"/>
                <w:szCs w:val="21"/>
              </w:rPr>
              <w:t>接收质疑函的方式：书面方式；接收质疑函的部门：云南中云招标咨询有限公司；联系人、联系电话：艾老师</w:t>
            </w:r>
            <w:r>
              <w:rPr>
                <w:rFonts w:hint="eastAsia" w:ascii="宋体" w:hAnsi="宋体" w:cs="宋体"/>
                <w:color w:val="000000"/>
                <w:szCs w:val="21"/>
                <w:lang w:val="zh-CN"/>
              </w:rPr>
              <w:t>（</w:t>
            </w:r>
            <w:r>
              <w:rPr>
                <w:rFonts w:ascii="宋体" w:hAnsi="宋体" w:cs="宋体"/>
                <w:color w:val="000000"/>
                <w:szCs w:val="21"/>
                <w:lang w:val="zh-CN"/>
              </w:rPr>
              <w:t>0871-65313510</w:t>
            </w:r>
            <w:r>
              <w:rPr>
                <w:rFonts w:hint="eastAsia" w:ascii="宋体" w:hAnsi="宋体" w:cs="宋体"/>
                <w:color w:val="000000"/>
                <w:szCs w:val="21"/>
                <w:lang w:val="zh-CN"/>
              </w:rPr>
              <w:t>）</w:t>
            </w:r>
            <w:r>
              <w:rPr>
                <w:rFonts w:hint="eastAsia" w:ascii="宋体" w:hAnsi="宋体" w:cs="宋体"/>
                <w:color w:val="000000"/>
                <w:szCs w:val="21"/>
              </w:rPr>
              <w:t>；通讯地址：</w:t>
            </w:r>
            <w:r>
              <w:rPr>
                <w:rFonts w:hint="eastAsia" w:ascii="宋体" w:hAnsi="宋体" w:cs="宋体"/>
                <w:color w:val="000000"/>
                <w:kern w:val="0"/>
                <w:szCs w:val="21"/>
                <w:lang w:val="zh-CN"/>
              </w:rPr>
              <w:t>云南省昆明市西山区滇池柏悦5栋20楼</w:t>
            </w:r>
            <w:r>
              <w:rPr>
                <w:rFonts w:hint="eastAsia" w:ascii="宋体" w:hAnsi="宋体" w:cs="宋体"/>
                <w:color w:val="000000"/>
                <w:szCs w:val="21"/>
              </w:rPr>
              <w:t>。</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23.1.9</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26</w:t>
            </w:r>
          </w:p>
        </w:tc>
        <w:tc>
          <w:tcPr>
            <w:tcW w:w="2187"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本项目采购代理服务费收费标准</w:t>
            </w:r>
          </w:p>
        </w:tc>
        <w:tc>
          <w:tcPr>
            <w:tcW w:w="5325" w:type="dxa"/>
            <w:vAlign w:val="center"/>
          </w:tcPr>
          <w:p>
            <w:pPr>
              <w:pStyle w:val="20"/>
              <w:snapToGrid w:val="0"/>
              <w:spacing w:line="360" w:lineRule="auto"/>
              <w:rPr>
                <w:rFonts w:hAnsi="宋体" w:cs="宋体"/>
                <w:color w:val="000000"/>
              </w:rPr>
            </w:pPr>
            <w:r>
              <w:rPr>
                <w:rFonts w:hint="eastAsia" w:hAnsi="宋体" w:cs="宋体"/>
                <w:color w:val="000000"/>
              </w:rPr>
              <w:t>1.本项目成交服务费参照原国家计委[2002]1980号文件规定的收费标准及原国家发展和改革委员会发改办价格[2003]857号文规定的服务类收费标准向成交人收取（计算基准价为成交总价）。</w:t>
            </w:r>
          </w:p>
          <w:p>
            <w:pPr>
              <w:pStyle w:val="20"/>
              <w:snapToGrid w:val="0"/>
              <w:spacing w:line="360" w:lineRule="auto"/>
              <w:rPr>
                <w:rFonts w:hAnsi="宋体" w:cs="宋体"/>
                <w:color w:val="000000"/>
                <w:kern w:val="0"/>
              </w:rPr>
            </w:pPr>
            <w:r>
              <w:rPr>
                <w:rFonts w:hint="eastAsia" w:hAnsi="宋体" w:cs="宋体"/>
                <w:color w:val="000000"/>
              </w:rPr>
              <w:t>2.请各供应商在进行响应报价时充分考虑此部分费用，该项费用综合包含在响应报价中但不单独列项。</w:t>
            </w:r>
          </w:p>
        </w:tc>
        <w:tc>
          <w:tcPr>
            <w:tcW w:w="929" w:type="dxa"/>
            <w:vAlign w:val="center"/>
          </w:tcPr>
          <w:p>
            <w:pPr>
              <w:pStyle w:val="20"/>
              <w:snapToGrid w:val="0"/>
              <w:spacing w:line="360" w:lineRule="auto"/>
              <w:jc w:val="center"/>
              <w:rPr>
                <w:rFonts w:hAnsi="宋体" w:cs="宋体"/>
                <w:color w:val="000000"/>
              </w:rPr>
            </w:pPr>
            <w:r>
              <w:rPr>
                <w:rFonts w:hint="eastAsia" w:hAnsi="宋体" w:cs="宋体"/>
                <w:color w:val="000000"/>
                <w:kern w:val="0"/>
              </w:rPr>
              <w:t>24.1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27</w:t>
            </w:r>
          </w:p>
        </w:tc>
        <w:tc>
          <w:tcPr>
            <w:tcW w:w="7512" w:type="dxa"/>
            <w:gridSpan w:val="2"/>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需要补充的其他内容</w:t>
            </w:r>
          </w:p>
        </w:tc>
        <w:tc>
          <w:tcPr>
            <w:tcW w:w="92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26.1</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（1）</w:t>
            </w:r>
          </w:p>
        </w:tc>
        <w:tc>
          <w:tcPr>
            <w:tcW w:w="8441" w:type="dxa"/>
            <w:gridSpan w:val="3"/>
            <w:vAlign w:val="center"/>
          </w:tcPr>
          <w:p>
            <w:pPr>
              <w:pStyle w:val="20"/>
              <w:snapToGrid w:val="0"/>
              <w:spacing w:line="360" w:lineRule="auto"/>
              <w:rPr>
                <w:rFonts w:hAnsi="宋体" w:cs="宋体"/>
                <w:color w:val="000000"/>
              </w:rPr>
            </w:pPr>
            <w:r>
              <w:rPr>
                <w:rFonts w:hint="eastAsia" w:hAnsi="宋体" w:cs="宋体"/>
                <w:color w:val="000000"/>
              </w:rPr>
              <w:t>参与本项目磋商的供应商为自然人的，响应文件中涉及需要签字盖章的，应由本人签字并按手印；供应商为法人或者其他组织的，应当由法定代表人、主要负责人，或者其授权代表签字或者盖章，并加盖公章。</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689" w:type="dxa"/>
            <w:vAlign w:val="center"/>
          </w:tcPr>
          <w:p>
            <w:pPr>
              <w:pStyle w:val="20"/>
              <w:snapToGrid w:val="0"/>
              <w:spacing w:line="360" w:lineRule="auto"/>
              <w:jc w:val="center"/>
              <w:rPr>
                <w:rFonts w:hAnsi="宋体" w:cs="宋体"/>
                <w:color w:val="000000"/>
                <w:kern w:val="0"/>
              </w:rPr>
            </w:pPr>
            <w:r>
              <w:rPr>
                <w:rFonts w:hint="eastAsia" w:hAnsi="宋体" w:cs="宋体"/>
                <w:color w:val="000000"/>
                <w:kern w:val="0"/>
              </w:rPr>
              <w:t>（2）</w:t>
            </w:r>
          </w:p>
        </w:tc>
        <w:tc>
          <w:tcPr>
            <w:tcW w:w="8441" w:type="dxa"/>
            <w:gridSpan w:val="3"/>
            <w:vAlign w:val="center"/>
          </w:tcPr>
          <w:p>
            <w:pPr>
              <w:pStyle w:val="20"/>
              <w:snapToGrid w:val="0"/>
              <w:spacing w:line="360" w:lineRule="auto"/>
              <w:rPr>
                <w:rFonts w:hAnsi="宋体" w:cs="宋体"/>
                <w:color w:val="000000"/>
              </w:rPr>
            </w:pPr>
            <w:r>
              <w:rPr>
                <w:rFonts w:hint="eastAsia" w:hAnsi="宋体" w:cs="宋体"/>
                <w:color w:val="000000"/>
              </w:rPr>
              <w:t>响应文件份数：在响应文件递交截止时间前采用网络上传加密版电子响应文件。成交供应商须提供与网上上传的电子响应文件完全一致的纸质标书（领取成交通知书时提供）（具体份数以实际通知为准）。</w:t>
            </w:r>
          </w:p>
        </w:tc>
      </w:tr>
    </w:tbl>
    <w:p>
      <w:pPr>
        <w:adjustRightInd w:val="0"/>
        <w:snapToGrid w:val="0"/>
        <w:spacing w:line="360" w:lineRule="auto"/>
        <w:rPr>
          <w:rFonts w:ascii="宋体" w:hAnsi="宋体" w:cs="宋体"/>
          <w:color w:val="000000"/>
        </w:rPr>
      </w:pPr>
    </w:p>
    <w:p>
      <w:pPr>
        <w:pStyle w:val="4"/>
        <w:keepLines w:val="0"/>
        <w:numPr>
          <w:ilvl w:val="1"/>
          <w:numId w:val="0"/>
        </w:numPr>
        <w:tabs>
          <w:tab w:val="left" w:pos="420"/>
          <w:tab w:val="left" w:pos="6090"/>
        </w:tabs>
        <w:adjustRightInd w:val="0"/>
        <w:snapToGrid w:val="0"/>
        <w:spacing w:before="0" w:after="0"/>
        <w:textAlignment w:val="baseline"/>
        <w:rPr>
          <w:rFonts w:ascii="宋体" w:hAnsi="宋体" w:cs="宋体"/>
          <w:bCs w:val="0"/>
          <w:color w:val="000000"/>
          <w:sz w:val="28"/>
          <w:szCs w:val="30"/>
        </w:rPr>
      </w:pPr>
      <w:bookmarkStart w:id="104" w:name="_Toc80867901"/>
      <w:bookmarkStart w:id="105" w:name="_Toc87622636"/>
      <w:bookmarkStart w:id="106" w:name="_Toc470096304"/>
      <w:bookmarkStart w:id="107" w:name="_Toc34335277"/>
      <w:r>
        <w:rPr>
          <w:rFonts w:hint="eastAsia" w:ascii="宋体" w:hAnsi="宋体"/>
        </w:rPr>
        <w:br w:type="page"/>
      </w:r>
      <w:bookmarkStart w:id="108" w:name="_Toc11481"/>
      <w:bookmarkStart w:id="109" w:name="_Toc24073"/>
      <w:bookmarkStart w:id="110" w:name="_Toc12739"/>
      <w:bookmarkStart w:id="111" w:name="_Toc5334"/>
      <w:bookmarkStart w:id="112" w:name="_Toc2147"/>
      <w:r>
        <w:rPr>
          <w:rStyle w:val="51"/>
          <w:rFonts w:hint="eastAsia"/>
          <w:b/>
          <w:bCs/>
        </w:rPr>
        <w:t>一、总</w:t>
      </w:r>
      <w:r>
        <w:rPr>
          <w:rStyle w:val="51"/>
          <w:b/>
          <w:bCs/>
        </w:rPr>
        <w:t xml:space="preserve">  </w:t>
      </w:r>
      <w:r>
        <w:rPr>
          <w:rStyle w:val="51"/>
          <w:rFonts w:hint="eastAsia"/>
          <w:b/>
          <w:bCs/>
        </w:rPr>
        <w:t>则</w:t>
      </w:r>
      <w:bookmarkEnd w:id="104"/>
      <w:bookmarkEnd w:id="105"/>
      <w:bookmarkEnd w:id="106"/>
      <w:bookmarkEnd w:id="107"/>
      <w:bookmarkEnd w:id="108"/>
      <w:bookmarkEnd w:id="109"/>
      <w:bookmarkEnd w:id="110"/>
      <w:bookmarkEnd w:id="111"/>
      <w:bookmarkEnd w:id="112"/>
    </w:p>
    <w:p>
      <w:pPr>
        <w:pStyle w:val="5"/>
        <w:tabs>
          <w:tab w:val="left" w:pos="0"/>
        </w:tabs>
        <w:adjustRightInd w:val="0"/>
        <w:snapToGrid w:val="0"/>
        <w:spacing w:before="0" w:after="0"/>
        <w:ind w:firstLine="0" w:firstLineChars="0"/>
        <w:jc w:val="left"/>
        <w:rPr>
          <w:rFonts w:hAnsi="宋体"/>
          <w:sz w:val="24"/>
          <w:szCs w:val="24"/>
        </w:rPr>
      </w:pPr>
      <w:bookmarkStart w:id="113" w:name="_Toc438396728"/>
      <w:bookmarkStart w:id="114" w:name="_Toc34335278"/>
      <w:bookmarkStart w:id="115" w:name="_Toc21896"/>
      <w:bookmarkStart w:id="116" w:name="_Toc432194826"/>
      <w:bookmarkStart w:id="117" w:name="_Toc329810186"/>
      <w:bookmarkStart w:id="118" w:name="_Toc22569"/>
      <w:bookmarkStart w:id="119" w:name="_Toc383175474"/>
      <w:bookmarkStart w:id="120" w:name="_Toc383175276"/>
      <w:bookmarkStart w:id="121" w:name="_Toc470096305"/>
      <w:bookmarkStart w:id="122" w:name="_Toc383175052"/>
      <w:bookmarkStart w:id="123" w:name="_Toc87622637"/>
      <w:bookmarkStart w:id="124" w:name="_Toc432106475"/>
      <w:bookmarkStart w:id="125" w:name="_Toc80867902"/>
      <w:r>
        <w:rPr>
          <w:rFonts w:hint="eastAsia" w:hAnsi="宋体"/>
          <w:sz w:val="24"/>
          <w:szCs w:val="24"/>
        </w:rPr>
        <w:t>1</w:t>
      </w:r>
      <w:r>
        <w:rPr>
          <w:rFonts w:hAnsi="宋体"/>
          <w:sz w:val="24"/>
          <w:szCs w:val="24"/>
        </w:rPr>
        <w:t>.</w:t>
      </w:r>
      <w:r>
        <w:rPr>
          <w:rFonts w:hint="eastAsia" w:hAnsi="宋体"/>
          <w:sz w:val="24"/>
          <w:szCs w:val="24"/>
        </w:rPr>
        <w:t>项目概况</w:t>
      </w:r>
      <w:bookmarkEnd w:id="113"/>
      <w:bookmarkEnd w:id="114"/>
      <w:bookmarkEnd w:id="115"/>
      <w:bookmarkEnd w:id="116"/>
      <w:bookmarkEnd w:id="117"/>
      <w:bookmarkEnd w:id="118"/>
      <w:bookmarkEnd w:id="119"/>
      <w:bookmarkEnd w:id="120"/>
      <w:bookmarkEnd w:id="121"/>
      <w:bookmarkEnd w:id="122"/>
      <w:bookmarkEnd w:id="123"/>
      <w:bookmarkEnd w:id="124"/>
      <w:bookmarkEnd w:id="125"/>
    </w:p>
    <w:p>
      <w:pPr>
        <w:adjustRightInd w:val="0"/>
        <w:snapToGrid w:val="0"/>
        <w:spacing w:line="360" w:lineRule="auto"/>
        <w:ind w:firstLine="420" w:firstLineChars="200"/>
        <w:jc w:val="left"/>
        <w:rPr>
          <w:rFonts w:ascii="宋体" w:hAnsi="宋体"/>
          <w:szCs w:val="21"/>
        </w:rPr>
      </w:pPr>
      <w:r>
        <w:rPr>
          <w:rFonts w:ascii="宋体" w:hAnsi="宋体"/>
          <w:szCs w:val="21"/>
        </w:rPr>
        <w:t xml:space="preserve">1.1 </w:t>
      </w:r>
      <w:r>
        <w:rPr>
          <w:rFonts w:hint="eastAsia" w:ascii="宋体" w:hAnsi="宋体"/>
          <w:szCs w:val="21"/>
        </w:rPr>
        <w:t>根据《中华人民共和国政府采购法》、《中华人民共和国政府采购法实施条例》、《政府采购竞争性磋商采购方式管理暂行办法》等有关法律、法规和规章的规定，本项目已获批准，现对本项目进行竞争性磋商采购。</w:t>
      </w:r>
    </w:p>
    <w:p>
      <w:pPr>
        <w:adjustRightInd w:val="0"/>
        <w:snapToGrid w:val="0"/>
        <w:spacing w:line="360" w:lineRule="auto"/>
        <w:ind w:firstLine="420" w:firstLineChars="200"/>
        <w:jc w:val="left"/>
        <w:rPr>
          <w:rFonts w:ascii="宋体" w:hAnsi="宋体"/>
          <w:szCs w:val="21"/>
        </w:rPr>
      </w:pPr>
      <w:r>
        <w:rPr>
          <w:rFonts w:ascii="宋体" w:hAnsi="宋体"/>
          <w:szCs w:val="21"/>
        </w:rPr>
        <w:t xml:space="preserve">1.2 </w:t>
      </w:r>
      <w:r>
        <w:rPr>
          <w:rFonts w:hint="eastAsia" w:ascii="宋体" w:hAnsi="宋体"/>
          <w:szCs w:val="21"/>
        </w:rPr>
        <w:t>本项目采购人、采购代理机构、项目名称及项目编号：见</w:t>
      </w:r>
      <w:r>
        <w:rPr>
          <w:rFonts w:ascii="宋体" w:hAnsi="宋体"/>
          <w:szCs w:val="21"/>
        </w:rPr>
        <w:t>“</w:t>
      </w:r>
      <w:r>
        <w:rPr>
          <w:rFonts w:hint="eastAsia" w:ascii="宋体" w:hAnsi="宋体"/>
          <w:b/>
          <w:bCs/>
          <w:szCs w:val="21"/>
        </w:rPr>
        <w:t>供应商须知前附表</w:t>
      </w:r>
      <w:r>
        <w:rPr>
          <w:rFonts w:ascii="宋体" w:hAnsi="宋体"/>
          <w:szCs w:val="21"/>
        </w:rPr>
        <w:t>”</w:t>
      </w:r>
      <w:r>
        <w:rPr>
          <w:rFonts w:hint="eastAsia" w:ascii="宋体" w:hAnsi="宋体"/>
          <w:szCs w:val="21"/>
        </w:rPr>
        <w:t>。</w:t>
      </w:r>
    </w:p>
    <w:p>
      <w:pPr>
        <w:pStyle w:val="5"/>
        <w:tabs>
          <w:tab w:val="left" w:pos="0"/>
        </w:tabs>
        <w:adjustRightInd w:val="0"/>
        <w:snapToGrid w:val="0"/>
        <w:spacing w:before="0" w:after="0"/>
        <w:ind w:firstLine="0" w:firstLineChars="0"/>
        <w:jc w:val="left"/>
        <w:rPr>
          <w:rFonts w:hAnsi="宋体"/>
          <w:sz w:val="24"/>
          <w:szCs w:val="24"/>
        </w:rPr>
      </w:pPr>
      <w:bookmarkStart w:id="126" w:name="_Toc34335279"/>
      <w:bookmarkStart w:id="127" w:name="_Toc80867903"/>
      <w:bookmarkStart w:id="128" w:name="_Toc634"/>
      <w:bookmarkStart w:id="129" w:name="_Toc7591"/>
      <w:bookmarkStart w:id="130" w:name="_Toc87622638"/>
      <w:r>
        <w:rPr>
          <w:rFonts w:hint="eastAsia" w:hAnsi="宋体"/>
          <w:sz w:val="24"/>
          <w:szCs w:val="24"/>
        </w:rPr>
        <w:t>2</w:t>
      </w:r>
      <w:r>
        <w:rPr>
          <w:rFonts w:hAnsi="宋体"/>
          <w:sz w:val="24"/>
          <w:szCs w:val="24"/>
        </w:rPr>
        <w:t>.资金来源</w:t>
      </w:r>
      <w:r>
        <w:rPr>
          <w:rFonts w:hint="eastAsia" w:hAnsi="宋体"/>
          <w:sz w:val="24"/>
          <w:szCs w:val="24"/>
        </w:rPr>
        <w:t>及预算情况</w:t>
      </w:r>
      <w:bookmarkEnd w:id="126"/>
      <w:bookmarkEnd w:id="127"/>
      <w:bookmarkEnd w:id="128"/>
      <w:bookmarkEnd w:id="129"/>
      <w:bookmarkEnd w:id="130"/>
    </w:p>
    <w:p>
      <w:pPr>
        <w:adjustRightInd w:val="0"/>
        <w:snapToGrid w:val="0"/>
        <w:spacing w:line="360" w:lineRule="auto"/>
        <w:ind w:firstLine="420" w:firstLineChars="200"/>
        <w:jc w:val="left"/>
        <w:rPr>
          <w:rFonts w:ascii="宋体" w:hAnsi="宋体"/>
          <w:szCs w:val="21"/>
        </w:rPr>
      </w:pPr>
      <w:r>
        <w:rPr>
          <w:rFonts w:hint="eastAsia" w:ascii="宋体" w:hAnsi="宋体"/>
          <w:szCs w:val="21"/>
        </w:rPr>
        <w:t>2.1 本项目的资金来源及预算情况：</w:t>
      </w:r>
      <w:r>
        <w:rPr>
          <w:rFonts w:hint="eastAsia" w:ascii="宋体" w:hAnsi="宋体"/>
          <w:szCs w:val="20"/>
        </w:rPr>
        <w:t>见</w:t>
      </w:r>
      <w:r>
        <w:rPr>
          <w:rFonts w:hint="eastAsia" w:ascii="宋体" w:hAnsi="宋体"/>
        </w:rPr>
        <w:t>“</w:t>
      </w:r>
      <w:r>
        <w:rPr>
          <w:rFonts w:hint="eastAsia" w:ascii="宋体" w:hAnsi="宋体"/>
          <w:b/>
          <w:bCs/>
          <w:szCs w:val="21"/>
        </w:rPr>
        <w:t>供应商</w:t>
      </w:r>
      <w:r>
        <w:rPr>
          <w:rFonts w:hint="eastAsia" w:ascii="宋体" w:hAnsi="宋体"/>
          <w:b/>
          <w:szCs w:val="20"/>
        </w:rPr>
        <w:t>须知前附表</w:t>
      </w:r>
      <w:r>
        <w:rPr>
          <w:rFonts w:hint="eastAsia" w:ascii="宋体" w:hAnsi="宋体"/>
        </w:rPr>
        <w:t>”</w:t>
      </w:r>
      <w:r>
        <w:rPr>
          <w:rFonts w:hint="eastAsia" w:ascii="宋体" w:hAnsi="宋体"/>
          <w:szCs w:val="21"/>
        </w:rPr>
        <w:t>。</w:t>
      </w:r>
    </w:p>
    <w:p>
      <w:pPr>
        <w:pStyle w:val="5"/>
        <w:tabs>
          <w:tab w:val="left" w:pos="0"/>
        </w:tabs>
        <w:adjustRightInd w:val="0"/>
        <w:snapToGrid w:val="0"/>
        <w:spacing w:before="0" w:after="0"/>
        <w:ind w:firstLine="0" w:firstLineChars="0"/>
        <w:jc w:val="left"/>
        <w:rPr>
          <w:rFonts w:hAnsi="宋体"/>
          <w:sz w:val="24"/>
          <w:szCs w:val="24"/>
        </w:rPr>
      </w:pPr>
      <w:bookmarkStart w:id="131" w:name="_Toc432194828"/>
      <w:bookmarkStart w:id="132" w:name="_Toc87622639"/>
      <w:bookmarkStart w:id="133" w:name="_Toc26680"/>
      <w:bookmarkStart w:id="134" w:name="_Toc3981"/>
      <w:bookmarkStart w:id="135" w:name="_Toc34335280"/>
      <w:bookmarkStart w:id="136" w:name="_Toc80867904"/>
      <w:bookmarkStart w:id="137" w:name="_Toc470096307"/>
      <w:bookmarkStart w:id="138" w:name="_Toc432106477"/>
      <w:bookmarkStart w:id="139" w:name="_Toc438396730"/>
      <w:r>
        <w:rPr>
          <w:rFonts w:hint="eastAsia" w:hAnsi="宋体"/>
          <w:sz w:val="24"/>
          <w:szCs w:val="24"/>
        </w:rPr>
        <w:t>3</w:t>
      </w:r>
      <w:r>
        <w:rPr>
          <w:rFonts w:hAnsi="宋体"/>
          <w:sz w:val="24"/>
          <w:szCs w:val="24"/>
        </w:rPr>
        <w:t>.</w:t>
      </w:r>
      <w:r>
        <w:rPr>
          <w:rFonts w:hint="eastAsia" w:hAnsi="宋体"/>
          <w:sz w:val="24"/>
          <w:szCs w:val="24"/>
        </w:rPr>
        <w:t>采购范围</w:t>
      </w:r>
      <w:bookmarkEnd w:id="131"/>
      <w:bookmarkEnd w:id="132"/>
      <w:bookmarkEnd w:id="133"/>
      <w:bookmarkEnd w:id="134"/>
      <w:bookmarkEnd w:id="135"/>
      <w:bookmarkEnd w:id="136"/>
      <w:bookmarkEnd w:id="137"/>
      <w:bookmarkEnd w:id="138"/>
      <w:bookmarkEnd w:id="139"/>
    </w:p>
    <w:p>
      <w:pPr>
        <w:adjustRightInd w:val="0"/>
        <w:snapToGrid w:val="0"/>
        <w:spacing w:line="360" w:lineRule="auto"/>
        <w:ind w:firstLine="420" w:firstLineChars="200"/>
        <w:jc w:val="left"/>
        <w:rPr>
          <w:rFonts w:ascii="宋体" w:hAnsi="宋体"/>
          <w:szCs w:val="21"/>
        </w:rPr>
      </w:pPr>
      <w:r>
        <w:rPr>
          <w:rFonts w:ascii="宋体" w:hAnsi="宋体"/>
          <w:szCs w:val="21"/>
        </w:rPr>
        <w:t xml:space="preserve">3.1 </w:t>
      </w:r>
      <w:r>
        <w:rPr>
          <w:rFonts w:hint="eastAsia" w:ascii="宋体" w:hAnsi="宋体"/>
          <w:szCs w:val="21"/>
        </w:rPr>
        <w:t>本项目采购范围：见</w:t>
      </w:r>
      <w:r>
        <w:rPr>
          <w:rFonts w:ascii="宋体" w:hAnsi="宋体"/>
          <w:szCs w:val="21"/>
        </w:rPr>
        <w:t>“</w:t>
      </w:r>
      <w:r>
        <w:rPr>
          <w:rFonts w:hint="eastAsia" w:ascii="宋体" w:hAnsi="宋体"/>
          <w:b/>
          <w:bCs/>
          <w:szCs w:val="21"/>
        </w:rPr>
        <w:t>供应商须知前附表</w:t>
      </w:r>
      <w:r>
        <w:rPr>
          <w:rFonts w:ascii="宋体" w:hAnsi="宋体"/>
          <w:szCs w:val="21"/>
        </w:rPr>
        <w:t>”</w:t>
      </w:r>
      <w:r>
        <w:rPr>
          <w:rFonts w:hint="eastAsia" w:ascii="宋体" w:hAnsi="宋体"/>
          <w:szCs w:val="21"/>
        </w:rPr>
        <w:t>。</w:t>
      </w:r>
    </w:p>
    <w:p>
      <w:pPr>
        <w:adjustRightInd w:val="0"/>
        <w:snapToGrid w:val="0"/>
        <w:spacing w:line="360" w:lineRule="auto"/>
        <w:ind w:firstLine="420" w:firstLineChars="200"/>
        <w:jc w:val="left"/>
        <w:rPr>
          <w:rFonts w:ascii="宋体" w:hAnsi="宋体"/>
          <w:szCs w:val="21"/>
        </w:rPr>
      </w:pPr>
      <w:r>
        <w:rPr>
          <w:rFonts w:ascii="宋体" w:hAnsi="宋体"/>
          <w:szCs w:val="21"/>
        </w:rPr>
        <w:t xml:space="preserve">3.2 </w:t>
      </w:r>
      <w:r>
        <w:rPr>
          <w:rFonts w:hint="eastAsia" w:ascii="宋体" w:hAnsi="宋体"/>
          <w:szCs w:val="21"/>
        </w:rPr>
        <w:t>本项目合同履行期限：见</w:t>
      </w:r>
      <w:r>
        <w:rPr>
          <w:rFonts w:ascii="宋体" w:hAnsi="宋体"/>
          <w:szCs w:val="21"/>
        </w:rPr>
        <w:t>“</w:t>
      </w:r>
      <w:r>
        <w:rPr>
          <w:rFonts w:hint="eastAsia" w:ascii="宋体" w:hAnsi="宋体"/>
          <w:b/>
          <w:bCs/>
          <w:szCs w:val="21"/>
        </w:rPr>
        <w:t>供应商须知前附表</w:t>
      </w:r>
      <w:r>
        <w:rPr>
          <w:rFonts w:ascii="宋体" w:hAnsi="宋体"/>
          <w:szCs w:val="21"/>
        </w:rPr>
        <w:t>”</w:t>
      </w:r>
      <w:r>
        <w:rPr>
          <w:rFonts w:hint="eastAsia" w:ascii="宋体" w:hAnsi="宋体"/>
          <w:szCs w:val="21"/>
        </w:rPr>
        <w:t>。</w:t>
      </w:r>
    </w:p>
    <w:p>
      <w:pPr>
        <w:adjustRightInd w:val="0"/>
        <w:snapToGrid w:val="0"/>
        <w:spacing w:line="360" w:lineRule="auto"/>
        <w:ind w:firstLine="420" w:firstLineChars="200"/>
        <w:jc w:val="left"/>
        <w:rPr>
          <w:rFonts w:ascii="宋体" w:hAnsi="宋体"/>
          <w:szCs w:val="21"/>
        </w:rPr>
      </w:pPr>
      <w:r>
        <w:rPr>
          <w:rFonts w:hint="eastAsia" w:ascii="宋体" w:hAnsi="宋体"/>
          <w:szCs w:val="21"/>
        </w:rPr>
        <w:t>3</w:t>
      </w:r>
      <w:r>
        <w:rPr>
          <w:rFonts w:ascii="宋体" w:hAnsi="宋体"/>
          <w:szCs w:val="21"/>
        </w:rPr>
        <w:t>.3</w:t>
      </w:r>
      <w:r>
        <w:rPr>
          <w:rFonts w:hint="eastAsia" w:ascii="宋体" w:hAnsi="宋体"/>
          <w:szCs w:val="21"/>
        </w:rPr>
        <w:t xml:space="preserve"> 服务地点：见</w:t>
      </w:r>
      <w:r>
        <w:rPr>
          <w:rFonts w:ascii="宋体" w:hAnsi="宋体"/>
          <w:szCs w:val="21"/>
        </w:rPr>
        <w:t>“</w:t>
      </w:r>
      <w:r>
        <w:rPr>
          <w:rFonts w:hint="eastAsia" w:ascii="宋体" w:hAnsi="宋体"/>
          <w:b/>
          <w:bCs/>
          <w:szCs w:val="21"/>
        </w:rPr>
        <w:t>供应商须知前附表</w:t>
      </w:r>
      <w:r>
        <w:rPr>
          <w:rFonts w:ascii="宋体" w:hAnsi="宋体"/>
          <w:szCs w:val="21"/>
        </w:rPr>
        <w:t>”</w:t>
      </w:r>
      <w:r>
        <w:rPr>
          <w:rFonts w:hint="eastAsia" w:ascii="宋体" w:hAnsi="宋体"/>
          <w:szCs w:val="21"/>
        </w:rPr>
        <w:t>。</w:t>
      </w:r>
    </w:p>
    <w:p>
      <w:pPr>
        <w:pStyle w:val="5"/>
        <w:tabs>
          <w:tab w:val="left" w:pos="0"/>
        </w:tabs>
        <w:adjustRightInd w:val="0"/>
        <w:snapToGrid w:val="0"/>
        <w:spacing w:before="0" w:after="0"/>
        <w:ind w:firstLine="0" w:firstLineChars="0"/>
        <w:jc w:val="left"/>
        <w:rPr>
          <w:rFonts w:hAnsi="宋体"/>
          <w:sz w:val="24"/>
          <w:szCs w:val="24"/>
        </w:rPr>
      </w:pPr>
      <w:bookmarkStart w:id="140" w:name="_Toc432106478"/>
      <w:bookmarkStart w:id="141" w:name="_Toc432194829"/>
      <w:bookmarkStart w:id="142" w:name="_Toc470096308"/>
      <w:bookmarkStart w:id="143" w:name="_Toc329810189"/>
      <w:bookmarkStart w:id="144" w:name="_Toc383175055"/>
      <w:bookmarkStart w:id="145" w:name="_Toc28012"/>
      <w:bookmarkStart w:id="146" w:name="_Toc80867905"/>
      <w:bookmarkStart w:id="147" w:name="_Toc383175477"/>
      <w:bookmarkStart w:id="148" w:name="_Toc13360"/>
      <w:bookmarkStart w:id="149" w:name="_Toc383175279"/>
      <w:bookmarkStart w:id="150" w:name="_Toc87622640"/>
      <w:bookmarkStart w:id="151" w:name="_Toc34335281"/>
      <w:bookmarkStart w:id="152" w:name="_Toc438396731"/>
      <w:r>
        <w:rPr>
          <w:rFonts w:hint="eastAsia" w:hAnsi="宋体"/>
          <w:sz w:val="24"/>
          <w:szCs w:val="24"/>
        </w:rPr>
        <w:t>4</w:t>
      </w:r>
      <w:r>
        <w:rPr>
          <w:rFonts w:hAnsi="宋体"/>
          <w:sz w:val="24"/>
          <w:szCs w:val="24"/>
        </w:rPr>
        <w:t>.</w:t>
      </w:r>
      <w:r>
        <w:rPr>
          <w:rFonts w:hint="eastAsia" w:hAnsi="宋体"/>
          <w:sz w:val="24"/>
          <w:szCs w:val="24"/>
        </w:rPr>
        <w:t>合格的供应商</w:t>
      </w:r>
      <w:bookmarkEnd w:id="140"/>
      <w:bookmarkEnd w:id="141"/>
      <w:bookmarkEnd w:id="142"/>
      <w:bookmarkEnd w:id="143"/>
      <w:bookmarkEnd w:id="144"/>
      <w:bookmarkEnd w:id="145"/>
      <w:bookmarkEnd w:id="146"/>
      <w:bookmarkEnd w:id="147"/>
      <w:bookmarkEnd w:id="148"/>
      <w:bookmarkEnd w:id="149"/>
      <w:bookmarkEnd w:id="150"/>
      <w:bookmarkEnd w:id="151"/>
      <w:bookmarkEnd w:id="152"/>
    </w:p>
    <w:p>
      <w:pPr>
        <w:adjustRightInd w:val="0"/>
        <w:snapToGrid w:val="0"/>
        <w:spacing w:line="360" w:lineRule="auto"/>
        <w:ind w:firstLine="420" w:firstLineChars="200"/>
        <w:jc w:val="left"/>
        <w:rPr>
          <w:rFonts w:ascii="宋体" w:hAnsi="宋体"/>
          <w:szCs w:val="21"/>
        </w:rPr>
      </w:pPr>
      <w:bookmarkStart w:id="153" w:name="_Toc383175056"/>
      <w:bookmarkStart w:id="154" w:name="_Toc383175478"/>
      <w:bookmarkStart w:id="155" w:name="_Toc329810190"/>
      <w:bookmarkStart w:id="156" w:name="_Toc383175280"/>
      <w:r>
        <w:rPr>
          <w:rFonts w:hint="eastAsia" w:ascii="宋体" w:hAnsi="宋体"/>
          <w:szCs w:val="21"/>
        </w:rPr>
        <w:t>4.1 供应商应符合供应商的资格要求，供应商资格要求：见</w:t>
      </w:r>
      <w:r>
        <w:rPr>
          <w:rFonts w:ascii="宋体" w:hAnsi="宋体"/>
          <w:szCs w:val="21"/>
        </w:rPr>
        <w:t>“</w:t>
      </w:r>
      <w:r>
        <w:rPr>
          <w:rFonts w:hint="eastAsia" w:ascii="宋体" w:hAnsi="宋体"/>
          <w:b/>
          <w:bCs/>
          <w:szCs w:val="21"/>
        </w:rPr>
        <w:t>供应商须知前附表</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4.2 单位负责人为同一人或者存在直接控股、管理关系的不同供应商，不得参加同一合同项下的政府采购活动。</w:t>
      </w:r>
    </w:p>
    <w:p>
      <w:pPr>
        <w:adjustRightInd w:val="0"/>
        <w:snapToGrid w:val="0"/>
        <w:spacing w:line="360" w:lineRule="auto"/>
        <w:ind w:firstLine="420" w:firstLineChars="200"/>
        <w:rPr>
          <w:rFonts w:ascii="宋体" w:hAnsi="宋体"/>
          <w:szCs w:val="21"/>
        </w:rPr>
      </w:pPr>
      <w:r>
        <w:rPr>
          <w:rFonts w:hint="eastAsia" w:ascii="宋体" w:hAnsi="宋体"/>
          <w:szCs w:val="21"/>
        </w:rPr>
        <w:t>4.3 与采购人存在利害关系可能影响采购公正性的法人、其他组织或者个人，不得参加磋商。</w:t>
      </w:r>
    </w:p>
    <w:p>
      <w:pPr>
        <w:adjustRightInd w:val="0"/>
        <w:snapToGrid w:val="0"/>
        <w:spacing w:line="360" w:lineRule="auto"/>
        <w:ind w:firstLine="420" w:firstLineChars="200"/>
        <w:rPr>
          <w:rFonts w:ascii="宋体" w:hAnsi="宋体"/>
          <w:szCs w:val="21"/>
        </w:rPr>
      </w:pPr>
      <w:r>
        <w:rPr>
          <w:rFonts w:hint="eastAsia" w:ascii="宋体" w:hAnsi="宋体"/>
          <w:szCs w:val="21"/>
        </w:rPr>
        <w:t>4.4 为采购项目提供整体设计、规范编制和项目管理、监理、检测等服务的供应商：详见《供应商须知前附表》；为本采购项目提供整体设计、规范编制和项目管理、监理、检测等服务的供应商，不得再参加本采购项目的其他采购活动。</w:t>
      </w:r>
    </w:p>
    <w:p>
      <w:pPr>
        <w:adjustRightInd w:val="0"/>
        <w:snapToGrid w:val="0"/>
        <w:spacing w:line="360" w:lineRule="auto"/>
        <w:ind w:firstLine="420" w:firstLineChars="200"/>
        <w:rPr>
          <w:rFonts w:ascii="宋体" w:hAnsi="宋体"/>
          <w:szCs w:val="21"/>
        </w:rPr>
      </w:pPr>
      <w:r>
        <w:rPr>
          <w:rFonts w:hint="eastAsia" w:ascii="宋体" w:hAnsi="宋体"/>
          <w:szCs w:val="21"/>
        </w:rPr>
        <w:t>4.5 《供应商须知前附表》规定接受联合体参与磋商的，除应符合本章第4.1</w:t>
      </w:r>
      <w:r>
        <w:rPr>
          <w:rFonts w:hint="eastAsia"/>
        </w:rPr>
        <w:t>～</w:t>
      </w:r>
      <w:r>
        <w:rPr>
          <w:rFonts w:hint="eastAsia" w:ascii="宋体" w:hAnsi="宋体"/>
          <w:szCs w:val="21"/>
        </w:rPr>
        <w:t>4.4项和《供应商须知前附表》的要求外，还应遵守以下规定：</w:t>
      </w:r>
    </w:p>
    <w:p>
      <w:pPr>
        <w:adjustRightInd w:val="0"/>
        <w:snapToGrid w:val="0"/>
        <w:spacing w:line="360" w:lineRule="auto"/>
        <w:ind w:firstLine="420" w:firstLineChars="200"/>
        <w:rPr>
          <w:rFonts w:ascii="宋体" w:hAnsi="宋体"/>
          <w:szCs w:val="21"/>
        </w:rPr>
      </w:pPr>
      <w:r>
        <w:rPr>
          <w:rFonts w:hint="eastAsia" w:ascii="宋体" w:hAnsi="宋体"/>
          <w:szCs w:val="21"/>
        </w:rPr>
        <w:t>(1)采购人根据采购项目的特殊要求规定供应商特定条件的，联合体各方中至少应有一方符合采购人规定的特定条件；</w:t>
      </w:r>
    </w:p>
    <w:p>
      <w:pPr>
        <w:adjustRightInd w:val="0"/>
        <w:snapToGrid w:val="0"/>
        <w:spacing w:line="360" w:lineRule="auto"/>
        <w:ind w:firstLine="420" w:firstLineChars="200"/>
        <w:rPr>
          <w:rFonts w:ascii="宋体" w:hAnsi="宋体" w:cs="宋体"/>
          <w:color w:val="000000"/>
        </w:rPr>
      </w:pPr>
      <w:r>
        <w:rPr>
          <w:rFonts w:hint="eastAsia" w:ascii="宋体" w:hAnsi="宋体"/>
          <w:szCs w:val="21"/>
        </w:rPr>
        <w:t>(2)联合体各方之间应当签订共同参与联合体协议，明确约定联合体各方承担的工作和相应的责</w:t>
      </w:r>
      <w:r>
        <w:rPr>
          <w:rFonts w:hint="eastAsia" w:ascii="宋体" w:hAnsi="宋体" w:cs="宋体"/>
          <w:color w:val="000000"/>
          <w:szCs w:val="21"/>
        </w:rPr>
        <w:t>任，</w:t>
      </w:r>
      <w:r>
        <w:rPr>
          <w:rFonts w:hint="eastAsia" w:ascii="宋体" w:hAnsi="宋体" w:cs="宋体"/>
          <w:b/>
          <w:color w:val="000000"/>
          <w:szCs w:val="21"/>
        </w:rPr>
        <w:t>并将共同参与联合体协议连同响应文件一并提交</w:t>
      </w:r>
      <w:r>
        <w:rPr>
          <w:rFonts w:hint="eastAsia" w:ascii="宋体" w:hAnsi="宋体" w:cs="宋体"/>
          <w:color w:val="000000"/>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(3)联合体各方不得再以自己名义单独或参加其他联合体在同一项目中参与磋商。</w:t>
      </w:r>
    </w:p>
    <w:p>
      <w:pPr>
        <w:adjustRightInd w:val="0"/>
        <w:snapToGrid w:val="0"/>
        <w:spacing w:line="360" w:lineRule="auto"/>
        <w:ind w:firstLine="420" w:firstLineChars="200"/>
        <w:rPr>
          <w:rFonts w:ascii="宋体" w:hAnsi="宋体"/>
          <w:szCs w:val="21"/>
        </w:rPr>
      </w:pPr>
      <w:r>
        <w:rPr>
          <w:rFonts w:hint="eastAsia" w:ascii="宋体" w:hAnsi="宋体"/>
          <w:szCs w:val="21"/>
        </w:rPr>
        <w:t>4.6 如供应商为满足供应商资格要求提供虚假材料，一经查实，视为未实质性响应磋商文件，供应商响应文件将按无效处理。</w:t>
      </w:r>
    </w:p>
    <w:p>
      <w:pPr>
        <w:pStyle w:val="5"/>
        <w:tabs>
          <w:tab w:val="left" w:pos="0"/>
        </w:tabs>
        <w:adjustRightInd w:val="0"/>
        <w:snapToGrid w:val="0"/>
        <w:spacing w:before="0" w:after="0"/>
        <w:ind w:firstLine="0" w:firstLineChars="0"/>
        <w:jc w:val="left"/>
        <w:rPr>
          <w:rFonts w:hAnsi="宋体"/>
          <w:sz w:val="24"/>
          <w:szCs w:val="24"/>
        </w:rPr>
      </w:pPr>
      <w:bookmarkStart w:id="157" w:name="_Toc432106479"/>
      <w:bookmarkStart w:id="158" w:name="_Toc432194830"/>
      <w:bookmarkStart w:id="159" w:name="_Toc470096309"/>
      <w:bookmarkStart w:id="160" w:name="_Toc34335282"/>
      <w:bookmarkStart w:id="161" w:name="_Toc20445"/>
      <w:bookmarkStart w:id="162" w:name="_Toc87622641"/>
      <w:bookmarkStart w:id="163" w:name="_Toc2311"/>
      <w:bookmarkStart w:id="164" w:name="_Toc80867906"/>
      <w:bookmarkStart w:id="165" w:name="_Toc438396732"/>
      <w:r>
        <w:rPr>
          <w:rFonts w:hAnsi="宋体"/>
          <w:sz w:val="24"/>
          <w:szCs w:val="24"/>
        </w:rPr>
        <w:t>5.</w:t>
      </w:r>
      <w:r>
        <w:rPr>
          <w:rFonts w:hint="eastAsia" w:hAnsi="宋体"/>
          <w:sz w:val="24"/>
          <w:szCs w:val="24"/>
        </w:rPr>
        <w:t>磋商费用</w:t>
      </w:r>
      <w:bookmarkEnd w:id="153"/>
      <w:bookmarkEnd w:id="154"/>
      <w:bookmarkEnd w:id="155"/>
      <w:bookmarkEnd w:id="156"/>
      <w:bookmarkEnd w:id="157"/>
      <w:bookmarkEnd w:id="158"/>
      <w:bookmarkEnd w:id="159"/>
      <w:bookmarkEnd w:id="160"/>
      <w:bookmarkEnd w:id="161"/>
      <w:bookmarkEnd w:id="162"/>
      <w:bookmarkEnd w:id="163"/>
      <w:bookmarkEnd w:id="164"/>
      <w:bookmarkEnd w:id="165"/>
    </w:p>
    <w:p>
      <w:pPr>
        <w:adjustRightInd w:val="0"/>
        <w:snapToGrid w:val="0"/>
        <w:spacing w:line="360" w:lineRule="auto"/>
        <w:ind w:firstLine="420" w:firstLineChars="200"/>
        <w:rPr>
          <w:rFonts w:ascii="宋体" w:hAnsi="宋体"/>
          <w:szCs w:val="21"/>
        </w:rPr>
      </w:pPr>
      <w:r>
        <w:rPr>
          <w:rFonts w:hint="eastAsia" w:ascii="宋体" w:hAnsi="宋体"/>
          <w:szCs w:val="21"/>
        </w:rPr>
        <w:t>无论是否成交，供应商自行承担所有与参加磋商有关的全部费用。</w:t>
      </w:r>
    </w:p>
    <w:p>
      <w:pPr>
        <w:pStyle w:val="4"/>
        <w:adjustRightInd w:val="0"/>
        <w:snapToGrid w:val="0"/>
        <w:spacing w:before="0" w:after="0"/>
      </w:pPr>
      <w:bookmarkStart w:id="166" w:name="_Toc86124047"/>
      <w:bookmarkStart w:id="167" w:name="_Toc22667"/>
      <w:bookmarkStart w:id="168" w:name="_Toc8950"/>
      <w:bookmarkStart w:id="169" w:name="_Toc26307"/>
      <w:bookmarkStart w:id="170" w:name="_Toc470096310"/>
      <w:bookmarkStart w:id="171" w:name="_Toc23701"/>
      <w:bookmarkStart w:id="172" w:name="_Toc87622642"/>
      <w:bookmarkStart w:id="173" w:name="_Toc34335283"/>
      <w:bookmarkStart w:id="174" w:name="_Toc18711"/>
      <w:bookmarkStart w:id="175" w:name="_Toc80867907"/>
      <w:r>
        <w:rPr>
          <w:rFonts w:hint="eastAsia"/>
        </w:rPr>
        <w:t>二、磋商文件</w:t>
      </w:r>
      <w:bookmarkEnd w:id="166"/>
      <w:bookmarkEnd w:id="167"/>
      <w:bookmarkEnd w:id="168"/>
      <w:bookmarkEnd w:id="169"/>
      <w:bookmarkEnd w:id="170"/>
      <w:bookmarkEnd w:id="171"/>
      <w:bookmarkEnd w:id="172"/>
      <w:bookmarkEnd w:id="173"/>
      <w:bookmarkEnd w:id="174"/>
      <w:bookmarkEnd w:id="175"/>
    </w:p>
    <w:p>
      <w:pPr>
        <w:pStyle w:val="5"/>
        <w:tabs>
          <w:tab w:val="left" w:pos="0"/>
        </w:tabs>
        <w:adjustRightInd w:val="0"/>
        <w:snapToGrid w:val="0"/>
        <w:spacing w:before="0" w:after="0"/>
        <w:ind w:firstLine="0" w:firstLineChars="0"/>
        <w:jc w:val="left"/>
        <w:rPr>
          <w:rFonts w:hAnsi="宋体"/>
          <w:sz w:val="24"/>
          <w:szCs w:val="24"/>
        </w:rPr>
      </w:pPr>
      <w:bookmarkStart w:id="176" w:name="_Toc383175282"/>
      <w:bookmarkStart w:id="177" w:name="_Toc23571"/>
      <w:bookmarkStart w:id="178" w:name="_Toc432106481"/>
      <w:bookmarkStart w:id="179" w:name="_Toc470096311"/>
      <w:bookmarkStart w:id="180" w:name="_Toc383175058"/>
      <w:bookmarkStart w:id="181" w:name="_Toc80867908"/>
      <w:bookmarkStart w:id="182" w:name="_Toc87622643"/>
      <w:bookmarkStart w:id="183" w:name="_Toc2904"/>
      <w:bookmarkStart w:id="184" w:name="_Toc329810192"/>
      <w:bookmarkStart w:id="185" w:name="_Toc432194832"/>
      <w:bookmarkStart w:id="186" w:name="_Toc383175480"/>
      <w:bookmarkStart w:id="187" w:name="_Toc34335284"/>
      <w:bookmarkStart w:id="188" w:name="_Toc438396734"/>
      <w:r>
        <w:rPr>
          <w:rFonts w:hint="eastAsia" w:hAnsi="宋体"/>
          <w:sz w:val="24"/>
          <w:szCs w:val="24"/>
        </w:rPr>
        <w:t>6</w:t>
      </w:r>
      <w:r>
        <w:rPr>
          <w:rFonts w:hAnsi="宋体"/>
          <w:sz w:val="24"/>
          <w:szCs w:val="24"/>
        </w:rPr>
        <w:t>.</w:t>
      </w:r>
      <w:r>
        <w:rPr>
          <w:rFonts w:hint="eastAsia" w:hAnsi="宋体"/>
          <w:sz w:val="24"/>
          <w:szCs w:val="24"/>
        </w:rPr>
        <w:t>磋商文件的组成</w:t>
      </w:r>
      <w:bookmarkEnd w:id="176"/>
      <w:bookmarkEnd w:id="177"/>
      <w:bookmarkEnd w:id="178"/>
      <w:bookmarkEnd w:id="179"/>
      <w:bookmarkEnd w:id="180"/>
      <w:bookmarkEnd w:id="181"/>
      <w:bookmarkEnd w:id="182"/>
      <w:bookmarkEnd w:id="183"/>
      <w:bookmarkEnd w:id="184"/>
      <w:bookmarkEnd w:id="185"/>
      <w:bookmarkEnd w:id="186"/>
      <w:bookmarkEnd w:id="187"/>
      <w:bookmarkEnd w:id="188"/>
    </w:p>
    <w:p>
      <w:pPr>
        <w:adjustRightInd w:val="0"/>
        <w:snapToGrid w:val="0"/>
        <w:spacing w:line="360" w:lineRule="auto"/>
        <w:ind w:firstLine="420" w:firstLineChars="200"/>
        <w:rPr>
          <w:rFonts w:ascii="宋体" w:hAnsi="宋体"/>
          <w:szCs w:val="21"/>
        </w:rPr>
      </w:pPr>
      <w:r>
        <w:rPr>
          <w:rFonts w:hint="eastAsia" w:ascii="宋体" w:hAnsi="宋体"/>
          <w:szCs w:val="21"/>
        </w:rPr>
        <w:t>6.1本项目磋商文件由目录所列内容组成，磋商文件共六章，各章的内容如下：</w:t>
      </w:r>
    </w:p>
    <w:p>
      <w:pPr>
        <w:adjustRightInd w:val="0"/>
        <w:snapToGrid w:val="0"/>
        <w:spacing w:line="360" w:lineRule="auto"/>
        <w:ind w:firstLine="420" w:firstLineChars="200"/>
        <w:rPr>
          <w:rFonts w:ascii="宋体" w:hAnsi="宋体"/>
          <w:szCs w:val="21"/>
        </w:rPr>
      </w:pPr>
      <w:r>
        <w:rPr>
          <w:rFonts w:hint="eastAsia" w:ascii="宋体" w:hAnsi="宋体"/>
          <w:szCs w:val="21"/>
        </w:rPr>
        <w:t>第一章  竞争性磋商公告</w:t>
      </w:r>
    </w:p>
    <w:p>
      <w:pPr>
        <w:adjustRightInd w:val="0"/>
        <w:snapToGrid w:val="0"/>
        <w:spacing w:line="360" w:lineRule="auto"/>
        <w:ind w:firstLine="420" w:firstLineChars="200"/>
        <w:rPr>
          <w:rFonts w:ascii="宋体" w:hAnsi="宋体"/>
          <w:szCs w:val="21"/>
        </w:rPr>
      </w:pPr>
      <w:r>
        <w:rPr>
          <w:rFonts w:hint="eastAsia" w:ascii="宋体" w:hAnsi="宋体"/>
          <w:szCs w:val="21"/>
        </w:rPr>
        <w:t>第二章  供应商须知</w:t>
      </w:r>
    </w:p>
    <w:p>
      <w:pPr>
        <w:adjustRightInd w:val="0"/>
        <w:snapToGrid w:val="0"/>
        <w:spacing w:line="360" w:lineRule="auto"/>
        <w:ind w:firstLine="420" w:firstLineChars="200"/>
        <w:rPr>
          <w:rFonts w:ascii="宋体" w:hAnsi="宋体"/>
          <w:szCs w:val="21"/>
        </w:rPr>
      </w:pPr>
      <w:r>
        <w:rPr>
          <w:rFonts w:hint="eastAsia" w:ascii="宋体" w:hAnsi="宋体"/>
          <w:szCs w:val="21"/>
        </w:rPr>
        <w:t>第三章  合同书样式及主要条款</w:t>
      </w:r>
    </w:p>
    <w:p>
      <w:pPr>
        <w:adjustRightInd w:val="0"/>
        <w:snapToGrid w:val="0"/>
        <w:spacing w:line="360" w:lineRule="auto"/>
        <w:ind w:firstLine="420" w:firstLineChars="200"/>
        <w:rPr>
          <w:rFonts w:ascii="宋体" w:hAnsi="宋体"/>
          <w:szCs w:val="21"/>
        </w:rPr>
      </w:pPr>
      <w:r>
        <w:rPr>
          <w:rFonts w:hint="eastAsia" w:ascii="宋体" w:hAnsi="宋体"/>
          <w:szCs w:val="21"/>
        </w:rPr>
        <w:t>第四章  响应文件格式</w:t>
      </w:r>
    </w:p>
    <w:p>
      <w:pPr>
        <w:adjustRightInd w:val="0"/>
        <w:snapToGrid w:val="0"/>
        <w:spacing w:line="360" w:lineRule="auto"/>
        <w:ind w:firstLine="420" w:firstLineChars="200"/>
        <w:rPr>
          <w:rFonts w:ascii="宋体" w:hAnsi="宋体"/>
          <w:szCs w:val="21"/>
        </w:rPr>
      </w:pPr>
      <w:r>
        <w:rPr>
          <w:rFonts w:hint="eastAsia" w:ascii="宋体" w:hAnsi="宋体"/>
          <w:szCs w:val="21"/>
        </w:rPr>
        <w:t>第五章  采购需求</w:t>
      </w:r>
    </w:p>
    <w:p>
      <w:pPr>
        <w:adjustRightInd w:val="0"/>
        <w:snapToGrid w:val="0"/>
        <w:spacing w:line="360" w:lineRule="auto"/>
        <w:ind w:firstLine="420" w:firstLineChars="200"/>
        <w:rPr>
          <w:rFonts w:ascii="宋体" w:hAnsi="宋体"/>
          <w:szCs w:val="21"/>
        </w:rPr>
      </w:pPr>
      <w:r>
        <w:rPr>
          <w:rFonts w:hint="eastAsia" w:ascii="宋体" w:hAnsi="宋体"/>
          <w:szCs w:val="21"/>
        </w:rPr>
        <w:t>第六章  磋商程序及方法</w:t>
      </w:r>
    </w:p>
    <w:p>
      <w:pPr>
        <w:adjustRightInd w:val="0"/>
        <w:snapToGrid w:val="0"/>
        <w:spacing w:line="360" w:lineRule="auto"/>
        <w:ind w:firstLine="420" w:firstLineChars="200"/>
        <w:rPr>
          <w:rFonts w:ascii="宋体" w:hAnsi="宋体"/>
          <w:szCs w:val="21"/>
        </w:rPr>
      </w:pPr>
      <w:r>
        <w:rPr>
          <w:rFonts w:hint="eastAsia" w:ascii="宋体" w:hAnsi="宋体"/>
          <w:szCs w:val="21"/>
        </w:rPr>
        <w:t>6.2根据本章第7.1款对磋商文件所作的澄清、修改，构成磋商文件的组成部分。</w:t>
      </w:r>
    </w:p>
    <w:p>
      <w:pPr>
        <w:pStyle w:val="5"/>
        <w:tabs>
          <w:tab w:val="left" w:pos="0"/>
        </w:tabs>
        <w:adjustRightInd w:val="0"/>
        <w:snapToGrid w:val="0"/>
        <w:spacing w:before="0" w:after="0"/>
        <w:ind w:firstLine="0" w:firstLineChars="0"/>
        <w:jc w:val="left"/>
        <w:rPr>
          <w:rFonts w:hAnsi="宋体"/>
          <w:sz w:val="24"/>
          <w:szCs w:val="24"/>
        </w:rPr>
      </w:pPr>
      <w:bookmarkStart w:id="189" w:name="_Toc86124049"/>
      <w:bookmarkStart w:id="190" w:name="_Toc87622644"/>
      <w:bookmarkStart w:id="191" w:name="_Toc329810193"/>
      <w:bookmarkStart w:id="192" w:name="_Toc80867909"/>
      <w:bookmarkStart w:id="193" w:name="_Toc383175059"/>
      <w:bookmarkStart w:id="194" w:name="_Toc13805"/>
      <w:bookmarkStart w:id="195" w:name="_Toc9908"/>
      <w:bookmarkStart w:id="196" w:name="_Toc34335285"/>
      <w:bookmarkStart w:id="197" w:name="_Toc438396735"/>
      <w:bookmarkStart w:id="198" w:name="_Toc383175283"/>
      <w:bookmarkStart w:id="199" w:name="_Toc432194833"/>
      <w:bookmarkStart w:id="200" w:name="_Toc383175481"/>
      <w:bookmarkStart w:id="201" w:name="_Toc470096312"/>
      <w:bookmarkStart w:id="202" w:name="_Toc432106482"/>
      <w:r>
        <w:rPr>
          <w:rFonts w:hint="eastAsia" w:hAnsi="宋体"/>
          <w:sz w:val="24"/>
          <w:szCs w:val="24"/>
        </w:rPr>
        <w:t>7</w:t>
      </w:r>
      <w:r>
        <w:rPr>
          <w:rFonts w:hAnsi="宋体"/>
          <w:sz w:val="24"/>
          <w:szCs w:val="24"/>
        </w:rPr>
        <w:t>.</w:t>
      </w:r>
      <w:r>
        <w:rPr>
          <w:rFonts w:hint="eastAsia" w:hAnsi="宋体"/>
          <w:sz w:val="24"/>
          <w:szCs w:val="24"/>
        </w:rPr>
        <w:t>磋商文件的澄清</w:t>
      </w:r>
      <w:bookmarkEnd w:id="189"/>
      <w:r>
        <w:rPr>
          <w:rFonts w:hint="eastAsia" w:hAnsi="宋体"/>
          <w:sz w:val="24"/>
          <w:szCs w:val="24"/>
        </w:rPr>
        <w:t>、修改</w:t>
      </w:r>
      <w:bookmarkEnd w:id="190"/>
      <w:bookmarkEnd w:id="191"/>
      <w:bookmarkEnd w:id="192"/>
      <w:bookmarkEnd w:id="193"/>
      <w:bookmarkEnd w:id="194"/>
      <w:bookmarkEnd w:id="195"/>
      <w:bookmarkEnd w:id="196"/>
      <w:bookmarkEnd w:id="197"/>
      <w:bookmarkEnd w:id="198"/>
      <w:bookmarkEnd w:id="199"/>
      <w:bookmarkEnd w:id="200"/>
      <w:bookmarkEnd w:id="201"/>
      <w:bookmarkEnd w:id="202"/>
    </w:p>
    <w:p>
      <w:pPr>
        <w:adjustRightInd w:val="0"/>
        <w:snapToGrid w:val="0"/>
        <w:spacing w:line="360" w:lineRule="auto"/>
        <w:ind w:firstLine="420" w:firstLineChars="200"/>
        <w:rPr>
          <w:rFonts w:ascii="宋体" w:hAnsi="宋体"/>
          <w:szCs w:val="21"/>
        </w:rPr>
      </w:pPr>
      <w:r>
        <w:rPr>
          <w:rFonts w:hint="eastAsia" w:ascii="宋体" w:hAnsi="宋体"/>
          <w:szCs w:val="21"/>
        </w:rPr>
        <w:t>7.1 参加供应商应认真审核磋商文件，如发现缺页或附件不全，应及时向采购代理机构提出，以便补齐。如有疑问的，供应商可以在 “供应商须知前附表”规定截止时间前以“政采云电子澄清函”形式要求采购代理机构澄清，截止时间后送达的澄清要求概不接受。</w:t>
      </w:r>
    </w:p>
    <w:p>
      <w:pPr>
        <w:adjustRightInd w:val="0"/>
        <w:snapToGrid w:val="0"/>
        <w:spacing w:line="360" w:lineRule="auto"/>
        <w:ind w:firstLine="420" w:firstLineChars="200"/>
        <w:rPr>
          <w:rFonts w:ascii="宋体" w:hAnsi="宋体"/>
          <w:szCs w:val="21"/>
        </w:rPr>
      </w:pPr>
      <w:r>
        <w:rPr>
          <w:rFonts w:hint="eastAsia" w:ascii="宋体" w:hAnsi="宋体"/>
          <w:szCs w:val="21"/>
        </w:rPr>
        <w:t>7.2 采购代理机构将以“政采云电子答复函”形式答复所有购买磋商文件的供应商（答复中不包含问题的来源）要求澄清的问题，其他澄清方式无效。</w:t>
      </w:r>
    </w:p>
    <w:p>
      <w:pPr>
        <w:adjustRightInd w:val="0"/>
        <w:snapToGrid w:val="0"/>
        <w:spacing w:line="360" w:lineRule="auto"/>
        <w:ind w:firstLine="420" w:firstLineChars="200"/>
        <w:rPr>
          <w:rFonts w:ascii="宋体" w:hAnsi="宋体"/>
          <w:szCs w:val="21"/>
        </w:rPr>
      </w:pPr>
      <w:r>
        <w:rPr>
          <w:rFonts w:hint="eastAsia" w:ascii="宋体" w:hAnsi="宋体"/>
          <w:szCs w:val="21"/>
        </w:rPr>
        <w:t>7.3采购人、采购代理机构对已发出的磋商文件进行必要的澄清或者修改的，澄清或者修改的内容作为磋商文件的组成部分。澄清或者修改的内容可能影响响应文件编制的，采购人、采购代理机构将在提交首次响应文件截止之日5日前，以书面形式通知所有接收磋商文件的供应商，不足5日的，将顺延提交首次响应文件截止之日。</w:t>
      </w:r>
    </w:p>
    <w:p>
      <w:pPr>
        <w:adjustRightInd w:val="0"/>
        <w:snapToGrid w:val="0"/>
        <w:spacing w:line="360" w:lineRule="auto"/>
        <w:ind w:firstLine="420" w:firstLineChars="200"/>
        <w:rPr>
          <w:rFonts w:ascii="宋体" w:hAnsi="宋体"/>
          <w:szCs w:val="21"/>
        </w:rPr>
      </w:pPr>
      <w:r>
        <w:rPr>
          <w:rFonts w:hint="eastAsia" w:ascii="宋体" w:hAnsi="宋体"/>
          <w:szCs w:val="21"/>
        </w:rPr>
        <w:t>7.4采购代理机构和采购人可以视采购具体情况，推迟递交响应文件截止时间，并将变更时间书面通知所有购买磋商文件的供应商。</w:t>
      </w:r>
    </w:p>
    <w:p>
      <w:pPr>
        <w:adjustRightInd w:val="0"/>
        <w:snapToGrid w:val="0"/>
        <w:spacing w:line="360" w:lineRule="auto"/>
        <w:ind w:firstLine="420" w:firstLineChars="200"/>
        <w:rPr>
          <w:rFonts w:ascii="宋体" w:hAnsi="宋体"/>
          <w:szCs w:val="21"/>
        </w:rPr>
      </w:pPr>
      <w:r>
        <w:rPr>
          <w:rFonts w:hint="eastAsia" w:ascii="宋体" w:hAnsi="宋体"/>
          <w:szCs w:val="21"/>
        </w:rPr>
        <w:t>7.5在磋商过程中，磋商小组可以根据磋商文件和磋商情况实质性变动采购需求中的技术、服务要求以及合同草案条款，但不得变动磋商文件中的其他内容。实质性变动的内容，须经采购人代表确认。本项目磋商小组根据与供应商磋商情况可能实质性变动的内容：见“</w:t>
      </w:r>
      <w:r>
        <w:rPr>
          <w:rFonts w:hint="eastAsia" w:ascii="宋体" w:hAnsi="宋体"/>
          <w:b/>
          <w:bCs/>
          <w:szCs w:val="21"/>
        </w:rPr>
        <w:t>供应商须知前附表</w:t>
      </w:r>
      <w:r>
        <w:rPr>
          <w:rFonts w:hint="eastAsia" w:ascii="宋体" w:hAnsi="宋体"/>
          <w:szCs w:val="21"/>
        </w:rPr>
        <w:t>”。</w:t>
      </w:r>
    </w:p>
    <w:p>
      <w:pPr>
        <w:pStyle w:val="4"/>
        <w:adjustRightInd w:val="0"/>
        <w:snapToGrid w:val="0"/>
        <w:spacing w:before="0" w:after="0"/>
      </w:pPr>
      <w:bookmarkStart w:id="203" w:name="_Toc470096313"/>
      <w:bookmarkStart w:id="204" w:name="_Toc87622645"/>
      <w:bookmarkStart w:id="205" w:name="_Toc19797"/>
      <w:bookmarkStart w:id="206" w:name="_Toc80867910"/>
      <w:bookmarkStart w:id="207" w:name="_Toc11272"/>
      <w:bookmarkStart w:id="208" w:name="_Toc86124051"/>
      <w:bookmarkStart w:id="209" w:name="_Toc32088"/>
      <w:bookmarkStart w:id="210" w:name="_Toc34335286"/>
      <w:bookmarkStart w:id="211" w:name="_Toc1987"/>
      <w:bookmarkStart w:id="212" w:name="_Toc14365"/>
      <w:r>
        <w:rPr>
          <w:rFonts w:hint="eastAsia"/>
        </w:rPr>
        <w:t>三、响应文件</w:t>
      </w:r>
      <w:bookmarkEnd w:id="203"/>
      <w:bookmarkEnd w:id="204"/>
      <w:bookmarkEnd w:id="205"/>
      <w:bookmarkEnd w:id="206"/>
      <w:bookmarkEnd w:id="207"/>
      <w:bookmarkEnd w:id="208"/>
      <w:bookmarkEnd w:id="209"/>
      <w:bookmarkEnd w:id="210"/>
      <w:bookmarkEnd w:id="211"/>
      <w:bookmarkEnd w:id="212"/>
    </w:p>
    <w:p>
      <w:pPr>
        <w:pStyle w:val="5"/>
        <w:tabs>
          <w:tab w:val="left" w:pos="0"/>
        </w:tabs>
        <w:adjustRightInd w:val="0"/>
        <w:snapToGrid w:val="0"/>
        <w:spacing w:before="0" w:after="0"/>
        <w:ind w:firstLine="0" w:firstLineChars="0"/>
        <w:jc w:val="left"/>
        <w:rPr>
          <w:rFonts w:hAnsi="宋体"/>
          <w:sz w:val="24"/>
          <w:szCs w:val="24"/>
        </w:rPr>
      </w:pPr>
      <w:bookmarkStart w:id="213" w:name="_Toc80867911"/>
      <w:bookmarkStart w:id="214" w:name="_Toc470096314"/>
      <w:bookmarkStart w:id="215" w:name="_Toc383175483"/>
      <w:bookmarkStart w:id="216" w:name="_Toc29506"/>
      <w:bookmarkStart w:id="217" w:name="_Toc383175061"/>
      <w:bookmarkStart w:id="218" w:name="_Toc432106484"/>
      <w:bookmarkStart w:id="219" w:name="_Toc438396737"/>
      <w:bookmarkStart w:id="220" w:name="_Toc2803"/>
      <w:bookmarkStart w:id="221" w:name="_Toc34335287"/>
      <w:bookmarkStart w:id="222" w:name="_Toc329810195"/>
      <w:bookmarkStart w:id="223" w:name="_Toc87622646"/>
      <w:bookmarkStart w:id="224" w:name="_Toc86124052"/>
      <w:bookmarkStart w:id="225" w:name="_Toc432194835"/>
      <w:bookmarkStart w:id="226" w:name="_Toc383175285"/>
      <w:r>
        <w:rPr>
          <w:rFonts w:hint="eastAsia" w:hAnsi="宋体"/>
          <w:sz w:val="24"/>
          <w:szCs w:val="24"/>
        </w:rPr>
        <w:t>8</w:t>
      </w:r>
      <w:r>
        <w:rPr>
          <w:rFonts w:hAnsi="宋体"/>
          <w:sz w:val="24"/>
          <w:szCs w:val="24"/>
        </w:rPr>
        <w:t>.</w:t>
      </w:r>
      <w:r>
        <w:rPr>
          <w:rFonts w:hint="eastAsia" w:hAnsi="宋体"/>
          <w:sz w:val="24"/>
          <w:szCs w:val="24"/>
        </w:rPr>
        <w:t>响应文件编写注意事项</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adjustRightInd w:val="0"/>
        <w:snapToGrid w:val="0"/>
        <w:spacing w:line="360" w:lineRule="auto"/>
        <w:ind w:firstLine="420" w:firstLineChars="200"/>
        <w:rPr>
          <w:rFonts w:ascii="宋体" w:hAnsi="宋体"/>
          <w:szCs w:val="21"/>
        </w:rPr>
      </w:pPr>
      <w:r>
        <w:rPr>
          <w:rFonts w:ascii="宋体" w:hAnsi="宋体"/>
          <w:szCs w:val="21"/>
        </w:rPr>
        <w:t xml:space="preserve">8.1 </w:t>
      </w:r>
      <w:r>
        <w:rPr>
          <w:rFonts w:hint="eastAsia" w:ascii="宋体" w:hAnsi="宋体"/>
          <w:szCs w:val="21"/>
        </w:rPr>
        <w:t>供应商应仔细阅读磋商文件，在完全了解采购的内容、</w:t>
      </w:r>
      <w:r>
        <w:rPr>
          <w:rFonts w:ascii="宋体" w:hAnsi="宋体"/>
          <w:szCs w:val="21"/>
        </w:rPr>
        <w:t>技术要求和商务条件后</w:t>
      </w:r>
      <w:r>
        <w:rPr>
          <w:rFonts w:hint="eastAsia" w:ascii="宋体" w:hAnsi="宋体"/>
          <w:szCs w:val="21"/>
        </w:rPr>
        <w:t>，编写响应文件。</w:t>
      </w:r>
    </w:p>
    <w:p>
      <w:pPr>
        <w:adjustRightInd w:val="0"/>
        <w:snapToGrid w:val="0"/>
        <w:spacing w:line="360" w:lineRule="auto"/>
        <w:ind w:firstLine="420" w:firstLineChars="200"/>
        <w:rPr>
          <w:rFonts w:ascii="宋体" w:hAnsi="宋体"/>
          <w:szCs w:val="21"/>
        </w:rPr>
      </w:pPr>
      <w:r>
        <w:rPr>
          <w:rFonts w:ascii="宋体" w:hAnsi="宋体"/>
          <w:szCs w:val="21"/>
        </w:rPr>
        <w:t xml:space="preserve">8.2 </w:t>
      </w:r>
      <w:r>
        <w:rPr>
          <w:rFonts w:hint="eastAsia" w:ascii="宋体" w:hAnsi="宋体"/>
          <w:szCs w:val="21"/>
        </w:rPr>
        <w:t>对磋商文件提出的实质性要求和条件作出响应是指供应商必须对磋商文件中规定的成交实质性要求和条件作出满足或者优于原要求和条件的承诺，并提供相应的证明材料。</w:t>
      </w:r>
    </w:p>
    <w:p>
      <w:pPr>
        <w:pStyle w:val="5"/>
        <w:tabs>
          <w:tab w:val="left" w:pos="0"/>
        </w:tabs>
        <w:adjustRightInd w:val="0"/>
        <w:snapToGrid w:val="0"/>
        <w:spacing w:before="0" w:after="0"/>
        <w:ind w:firstLine="0" w:firstLineChars="0"/>
        <w:jc w:val="left"/>
        <w:rPr>
          <w:rFonts w:hAnsi="宋体"/>
          <w:sz w:val="24"/>
          <w:szCs w:val="24"/>
        </w:rPr>
      </w:pPr>
      <w:bookmarkStart w:id="227" w:name="_Toc86124054"/>
      <w:bookmarkStart w:id="228" w:name="_Toc329810196"/>
      <w:bookmarkStart w:id="229" w:name="_Toc438396738"/>
      <w:bookmarkStart w:id="230" w:name="_Toc80867912"/>
      <w:bookmarkStart w:id="231" w:name="_Toc2995"/>
      <w:bookmarkStart w:id="232" w:name="_Toc432194836"/>
      <w:bookmarkStart w:id="233" w:name="_Toc34335288"/>
      <w:bookmarkStart w:id="234" w:name="_Toc10416"/>
      <w:bookmarkStart w:id="235" w:name="_Toc470096315"/>
      <w:bookmarkStart w:id="236" w:name="_Toc383175286"/>
      <w:bookmarkStart w:id="237" w:name="_Toc87622647"/>
      <w:bookmarkStart w:id="238" w:name="_Toc383175062"/>
      <w:bookmarkStart w:id="239" w:name="_Toc383175484"/>
      <w:bookmarkStart w:id="240" w:name="_Toc432106485"/>
      <w:r>
        <w:rPr>
          <w:rFonts w:hint="eastAsia" w:hAnsi="宋体"/>
          <w:sz w:val="24"/>
          <w:szCs w:val="24"/>
        </w:rPr>
        <w:t>9</w:t>
      </w:r>
      <w:r>
        <w:rPr>
          <w:rFonts w:hAnsi="宋体"/>
          <w:sz w:val="24"/>
          <w:szCs w:val="24"/>
        </w:rPr>
        <w:t>.</w:t>
      </w:r>
      <w:r>
        <w:rPr>
          <w:rFonts w:hint="eastAsia" w:hAnsi="宋体"/>
          <w:sz w:val="24"/>
          <w:szCs w:val="24"/>
        </w:rPr>
        <w:t>响应文件构成</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adjustRightInd w:val="0"/>
        <w:snapToGrid w:val="0"/>
        <w:spacing w:line="360" w:lineRule="auto"/>
        <w:ind w:firstLine="420" w:firstLineChars="200"/>
        <w:rPr>
          <w:rFonts w:ascii="宋体" w:hAnsi="宋体"/>
          <w:color w:val="000000"/>
          <w:szCs w:val="21"/>
        </w:rPr>
      </w:pPr>
      <w:r>
        <w:rPr>
          <w:rFonts w:ascii="宋体" w:hAnsi="宋体"/>
          <w:color w:val="000000"/>
          <w:szCs w:val="21"/>
        </w:rPr>
        <w:t>9.1</w:t>
      </w:r>
      <w:r>
        <w:rPr>
          <w:rFonts w:hint="eastAsia" w:ascii="宋体" w:hAnsi="宋体"/>
          <w:color w:val="000000"/>
          <w:szCs w:val="21"/>
        </w:rPr>
        <w:t>供应商编写的响应文件应按第四章《响应文件格式》要求填写。有关文件的提交如未特别注明需提供原件的，可提供扫描件。</w:t>
      </w:r>
    </w:p>
    <w:p>
      <w:pPr>
        <w:adjustRightInd w:val="0"/>
        <w:snapToGrid w:val="0"/>
        <w:spacing w:line="360" w:lineRule="auto"/>
        <w:ind w:firstLine="420" w:firstLineChars="200"/>
        <w:rPr>
          <w:rFonts w:ascii="宋体" w:hAnsi="宋体"/>
          <w:szCs w:val="21"/>
        </w:rPr>
      </w:pPr>
      <w:r>
        <w:rPr>
          <w:rFonts w:hint="eastAsia" w:ascii="宋体" w:hAnsi="宋体" w:cs="宋体"/>
          <w:color w:val="000000"/>
          <w:szCs w:val="21"/>
        </w:rPr>
        <w:t>9</w:t>
      </w:r>
      <w:r>
        <w:rPr>
          <w:rFonts w:ascii="宋体" w:hAnsi="宋体" w:cs="宋体"/>
          <w:color w:val="000000"/>
          <w:szCs w:val="21"/>
        </w:rPr>
        <w:t>.2</w:t>
      </w:r>
      <w:r>
        <w:rPr>
          <w:rFonts w:hint="eastAsia" w:ascii="宋体" w:hAnsi="宋体" w:cs="宋体"/>
          <w:color w:val="000000"/>
          <w:szCs w:val="21"/>
        </w:rPr>
        <w:t>本项目若分包（标段）时，供应商同时参与多个包（标段）采购的，响应文件应按包（标段）分别编制。</w:t>
      </w:r>
    </w:p>
    <w:p>
      <w:pPr>
        <w:pStyle w:val="5"/>
        <w:tabs>
          <w:tab w:val="left" w:pos="0"/>
        </w:tabs>
        <w:adjustRightInd w:val="0"/>
        <w:snapToGrid w:val="0"/>
        <w:spacing w:before="0" w:after="0"/>
        <w:ind w:firstLine="0" w:firstLineChars="0"/>
        <w:jc w:val="left"/>
        <w:rPr>
          <w:rFonts w:hAnsi="宋体"/>
          <w:sz w:val="24"/>
          <w:szCs w:val="24"/>
        </w:rPr>
      </w:pPr>
      <w:bookmarkStart w:id="241" w:name="_Toc86124056"/>
      <w:bookmarkStart w:id="242" w:name="_Toc87622648"/>
      <w:bookmarkStart w:id="243" w:name="_Toc80867913"/>
      <w:bookmarkStart w:id="244" w:name="_Toc383175485"/>
      <w:bookmarkStart w:id="245" w:name="_Toc23750"/>
      <w:bookmarkStart w:id="246" w:name="_Toc432106486"/>
      <w:bookmarkStart w:id="247" w:name="_Toc432194837"/>
      <w:bookmarkStart w:id="248" w:name="_Toc383175287"/>
      <w:bookmarkStart w:id="249" w:name="_Toc383175063"/>
      <w:bookmarkStart w:id="250" w:name="_Toc438396739"/>
      <w:bookmarkStart w:id="251" w:name="_Toc34335289"/>
      <w:bookmarkStart w:id="252" w:name="_Toc329810197"/>
      <w:bookmarkStart w:id="253" w:name="_Toc25965"/>
      <w:bookmarkStart w:id="254" w:name="_Toc470096316"/>
      <w:r>
        <w:rPr>
          <w:rFonts w:hint="eastAsia" w:hAnsi="宋体"/>
          <w:sz w:val="24"/>
          <w:szCs w:val="24"/>
        </w:rPr>
        <w:t>1</w:t>
      </w:r>
      <w:r>
        <w:rPr>
          <w:rFonts w:hAnsi="宋体"/>
          <w:sz w:val="24"/>
          <w:szCs w:val="24"/>
        </w:rPr>
        <w:t>0.</w:t>
      </w:r>
      <w:r>
        <w:rPr>
          <w:rFonts w:hint="eastAsia" w:hAnsi="宋体"/>
          <w:sz w:val="24"/>
          <w:szCs w:val="24"/>
        </w:rPr>
        <w:t>报价</w:t>
      </w:r>
      <w:bookmarkEnd w:id="241"/>
      <w:r>
        <w:rPr>
          <w:rFonts w:hint="eastAsia" w:hAnsi="宋体"/>
          <w:sz w:val="24"/>
          <w:szCs w:val="24"/>
        </w:rPr>
        <w:t>和报价货币</w:t>
      </w:r>
      <w:bookmarkEnd w:id="242"/>
      <w:bookmarkEnd w:id="243"/>
      <w:bookmarkEnd w:id="244"/>
      <w:bookmarkEnd w:id="245"/>
      <w:bookmarkEnd w:id="246"/>
      <w:bookmarkEnd w:id="247"/>
      <w:bookmarkEnd w:id="248"/>
      <w:bookmarkEnd w:id="249"/>
      <w:bookmarkEnd w:id="250"/>
      <w:bookmarkEnd w:id="251"/>
      <w:bookmarkEnd w:id="252"/>
      <w:bookmarkEnd w:id="253"/>
      <w:bookmarkEnd w:id="254"/>
    </w:p>
    <w:p>
      <w:pPr>
        <w:adjustRightInd w:val="0"/>
        <w:snapToGrid w:val="0"/>
        <w:spacing w:line="360" w:lineRule="auto"/>
        <w:ind w:firstLine="424" w:firstLineChars="202"/>
        <w:rPr>
          <w:rFonts w:ascii="宋体" w:hAnsi="宋体"/>
          <w:szCs w:val="21"/>
        </w:rPr>
      </w:pPr>
      <w:r>
        <w:rPr>
          <w:rFonts w:ascii="宋体" w:hAnsi="宋体"/>
          <w:szCs w:val="21"/>
        </w:rPr>
        <w:t>10.1</w:t>
      </w:r>
      <w:r>
        <w:rPr>
          <w:rFonts w:hint="eastAsia" w:ascii="宋体" w:hAnsi="宋体"/>
          <w:szCs w:val="21"/>
        </w:rPr>
        <w:t>本项目报价及合同所有款项的结算支付币种均为人民币。</w:t>
      </w:r>
    </w:p>
    <w:p>
      <w:pPr>
        <w:adjustRightInd w:val="0"/>
        <w:snapToGrid w:val="0"/>
        <w:spacing w:line="360" w:lineRule="auto"/>
        <w:ind w:firstLine="420" w:firstLineChars="200"/>
        <w:rPr>
          <w:rFonts w:ascii="宋体" w:hAnsi="宋体"/>
          <w:szCs w:val="21"/>
        </w:rPr>
      </w:pPr>
      <w:r>
        <w:rPr>
          <w:rFonts w:hint="eastAsia" w:ascii="宋体" w:hAnsi="宋体"/>
          <w:szCs w:val="21"/>
        </w:rPr>
        <w:t>10.2</w:t>
      </w:r>
      <w:bookmarkStart w:id="255" w:name="_Toc470096317"/>
      <w:bookmarkStart w:id="256" w:name="_Toc383175486"/>
      <w:bookmarkStart w:id="257" w:name="_Toc438396740"/>
      <w:bookmarkStart w:id="258" w:name="_Toc432194838"/>
      <w:bookmarkStart w:id="259" w:name="_Toc86124058"/>
      <w:bookmarkStart w:id="260" w:name="_Toc329810198"/>
      <w:bookmarkStart w:id="261" w:name="_Toc34335290"/>
      <w:bookmarkStart w:id="262" w:name="_Toc383175064"/>
      <w:bookmarkStart w:id="263" w:name="_Toc383175288"/>
      <w:bookmarkStart w:id="264" w:name="_Toc432106487"/>
      <w:r>
        <w:rPr>
          <w:rFonts w:ascii="宋体" w:hAnsi="宋体"/>
        </w:rPr>
        <w:t>报价要求</w:t>
      </w:r>
      <w:r>
        <w:rPr>
          <w:rFonts w:hint="eastAsia" w:ascii="宋体" w:hAnsi="宋体"/>
        </w:rPr>
        <w:t>：</w:t>
      </w:r>
      <w:r>
        <w:rPr>
          <w:rFonts w:hint="eastAsia" w:ascii="宋体" w:hAnsi="宋体"/>
          <w:szCs w:val="21"/>
        </w:rPr>
        <w:t>见</w:t>
      </w:r>
      <w:r>
        <w:rPr>
          <w:rFonts w:ascii="宋体" w:hAnsi="宋体"/>
          <w:szCs w:val="21"/>
        </w:rPr>
        <w:t>“</w:t>
      </w:r>
      <w:r>
        <w:rPr>
          <w:rFonts w:hint="eastAsia" w:ascii="宋体" w:hAnsi="宋体"/>
          <w:b/>
          <w:bCs/>
          <w:szCs w:val="21"/>
        </w:rPr>
        <w:t>供应商须知前附表</w:t>
      </w:r>
      <w:r>
        <w:rPr>
          <w:rFonts w:ascii="宋体" w:hAnsi="宋体"/>
          <w:szCs w:val="21"/>
        </w:rPr>
        <w:t>”</w:t>
      </w:r>
      <w:r>
        <w:rPr>
          <w:rFonts w:hint="eastAsia" w:ascii="宋体" w:hAnsi="宋体"/>
          <w:szCs w:val="21"/>
        </w:rPr>
        <w:t>。</w:t>
      </w:r>
    </w:p>
    <w:p>
      <w:pPr>
        <w:pStyle w:val="5"/>
        <w:tabs>
          <w:tab w:val="left" w:pos="0"/>
        </w:tabs>
        <w:adjustRightInd w:val="0"/>
        <w:snapToGrid w:val="0"/>
        <w:spacing w:before="0" w:after="0"/>
        <w:ind w:firstLine="0" w:firstLineChars="0"/>
        <w:jc w:val="left"/>
        <w:rPr>
          <w:rFonts w:hAnsi="宋体"/>
          <w:sz w:val="24"/>
          <w:szCs w:val="24"/>
        </w:rPr>
      </w:pPr>
      <w:bookmarkStart w:id="265" w:name="_Toc9031"/>
      <w:bookmarkStart w:id="266" w:name="_Toc16262"/>
      <w:bookmarkStart w:id="267" w:name="_Toc87622649"/>
      <w:bookmarkStart w:id="268" w:name="_Toc80867914"/>
      <w:r>
        <w:rPr>
          <w:rFonts w:hint="eastAsia" w:hAnsi="宋体"/>
          <w:sz w:val="24"/>
          <w:szCs w:val="24"/>
        </w:rPr>
        <w:t>1</w:t>
      </w:r>
      <w:r>
        <w:rPr>
          <w:rFonts w:hAnsi="宋体"/>
          <w:sz w:val="24"/>
          <w:szCs w:val="24"/>
        </w:rPr>
        <w:t>1.</w:t>
      </w:r>
      <w:r>
        <w:rPr>
          <w:rFonts w:hint="eastAsia" w:hAnsi="宋体"/>
          <w:sz w:val="24"/>
          <w:szCs w:val="24"/>
        </w:rPr>
        <w:t>磋商有效期</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adjustRightInd w:val="0"/>
        <w:snapToGrid w:val="0"/>
        <w:spacing w:line="360" w:lineRule="auto"/>
        <w:ind w:firstLine="420" w:firstLineChars="200"/>
        <w:rPr>
          <w:rFonts w:ascii="宋体" w:hAnsi="宋体"/>
          <w:color w:val="000000"/>
          <w:szCs w:val="21"/>
        </w:rPr>
      </w:pPr>
      <w:r>
        <w:rPr>
          <w:rFonts w:ascii="宋体" w:hAnsi="宋体"/>
          <w:color w:val="000000"/>
          <w:szCs w:val="21"/>
        </w:rPr>
        <w:t xml:space="preserve">11.1 </w:t>
      </w:r>
      <w:r>
        <w:rPr>
          <w:rFonts w:hint="eastAsia" w:ascii="宋体" w:hAnsi="宋体"/>
          <w:color w:val="000000"/>
          <w:szCs w:val="21"/>
        </w:rPr>
        <w:t>在“</w:t>
      </w:r>
      <w:r>
        <w:rPr>
          <w:rFonts w:hint="eastAsia" w:ascii="宋体" w:hAnsi="宋体"/>
          <w:b/>
          <w:color w:val="000000"/>
          <w:szCs w:val="21"/>
        </w:rPr>
        <w:t>供应商须知前附表</w:t>
      </w:r>
      <w:r>
        <w:rPr>
          <w:rFonts w:hint="eastAsia" w:ascii="宋体" w:hAnsi="宋体"/>
          <w:color w:val="000000"/>
          <w:szCs w:val="21"/>
        </w:rPr>
        <w:t>”规定的响应文件有效期内，供应商不得要求撤销或修改其响应文件。</w:t>
      </w:r>
    </w:p>
    <w:p>
      <w:pPr>
        <w:adjustRightInd w:val="0"/>
        <w:snapToGrid w:val="0"/>
        <w:spacing w:line="360" w:lineRule="auto"/>
        <w:ind w:firstLine="420" w:firstLineChars="200"/>
        <w:rPr>
          <w:rFonts w:ascii="宋体" w:hAnsi="宋体"/>
          <w:szCs w:val="21"/>
        </w:rPr>
      </w:pPr>
      <w:r>
        <w:rPr>
          <w:rFonts w:ascii="宋体" w:hAnsi="宋体"/>
          <w:color w:val="000000"/>
          <w:szCs w:val="21"/>
        </w:rPr>
        <w:t xml:space="preserve">11.2 </w:t>
      </w:r>
      <w:r>
        <w:rPr>
          <w:rFonts w:hint="eastAsia" w:ascii="宋体" w:hAnsi="宋体"/>
          <w:color w:val="000000"/>
          <w:szCs w:val="21"/>
        </w:rPr>
        <w:t>因特殊情况需要延长有效期的，采购代理机构以书面形式通知所有供应商延长有效期。</w:t>
      </w:r>
    </w:p>
    <w:p>
      <w:pPr>
        <w:pStyle w:val="5"/>
        <w:tabs>
          <w:tab w:val="left" w:pos="0"/>
        </w:tabs>
        <w:adjustRightInd w:val="0"/>
        <w:snapToGrid w:val="0"/>
        <w:spacing w:before="0" w:after="0"/>
        <w:ind w:firstLine="0" w:firstLineChars="0"/>
        <w:jc w:val="left"/>
        <w:rPr>
          <w:rFonts w:hAnsi="宋体"/>
          <w:sz w:val="24"/>
          <w:szCs w:val="24"/>
        </w:rPr>
      </w:pPr>
      <w:bookmarkStart w:id="269" w:name="_Toc86124059"/>
      <w:bookmarkStart w:id="270" w:name="_Toc329810199"/>
      <w:bookmarkStart w:id="271" w:name="_Toc383175065"/>
      <w:bookmarkStart w:id="272" w:name="_Toc11189"/>
      <w:bookmarkStart w:id="273" w:name="_Toc432194839"/>
      <w:bookmarkStart w:id="274" w:name="_Toc438396741"/>
      <w:bookmarkStart w:id="275" w:name="_Toc87622650"/>
      <w:bookmarkStart w:id="276" w:name="_Toc383175289"/>
      <w:bookmarkStart w:id="277" w:name="_Toc34335291"/>
      <w:bookmarkStart w:id="278" w:name="_Toc26058"/>
      <w:bookmarkStart w:id="279" w:name="_Toc383175487"/>
      <w:bookmarkStart w:id="280" w:name="_Toc432106488"/>
      <w:bookmarkStart w:id="281" w:name="_Toc80867915"/>
      <w:bookmarkStart w:id="282" w:name="_Toc470096318"/>
      <w:r>
        <w:rPr>
          <w:rFonts w:hint="eastAsia" w:hAnsi="宋体"/>
          <w:sz w:val="24"/>
          <w:szCs w:val="24"/>
        </w:rPr>
        <w:t>1</w:t>
      </w:r>
      <w:r>
        <w:rPr>
          <w:rFonts w:hAnsi="宋体"/>
          <w:sz w:val="24"/>
          <w:szCs w:val="24"/>
        </w:rPr>
        <w:t>2.</w:t>
      </w:r>
      <w:r>
        <w:rPr>
          <w:rFonts w:hint="eastAsia" w:hAnsi="宋体"/>
          <w:sz w:val="24"/>
          <w:szCs w:val="24"/>
        </w:rPr>
        <w:t>响应文件的</w:t>
      </w:r>
      <w:bookmarkEnd w:id="269"/>
      <w:bookmarkEnd w:id="270"/>
      <w:r>
        <w:rPr>
          <w:rFonts w:hint="eastAsia" w:hAnsi="宋体"/>
          <w:sz w:val="24"/>
          <w:szCs w:val="24"/>
        </w:rPr>
        <w:t>编制</w:t>
      </w:r>
      <w:bookmarkEnd w:id="271"/>
      <w:bookmarkEnd w:id="272"/>
      <w:bookmarkEnd w:id="273"/>
      <w:bookmarkEnd w:id="274"/>
      <w:bookmarkEnd w:id="275"/>
      <w:bookmarkEnd w:id="276"/>
      <w:bookmarkEnd w:id="277"/>
      <w:bookmarkEnd w:id="278"/>
      <w:bookmarkEnd w:id="279"/>
      <w:bookmarkEnd w:id="280"/>
      <w:bookmarkEnd w:id="281"/>
      <w:bookmarkEnd w:id="282"/>
    </w:p>
    <w:p>
      <w:pPr>
        <w:pStyle w:val="5"/>
        <w:tabs>
          <w:tab w:val="left" w:pos="0"/>
        </w:tabs>
        <w:adjustRightInd w:val="0"/>
        <w:snapToGrid w:val="0"/>
        <w:spacing w:before="0" w:after="0"/>
        <w:ind w:firstLine="420"/>
        <w:jc w:val="left"/>
        <w:rPr>
          <w:rFonts w:hAnsi="宋体"/>
          <w:b w:val="0"/>
          <w:bCs w:val="0"/>
          <w:color w:val="000000"/>
          <w:kern w:val="2"/>
          <w:sz w:val="21"/>
          <w:szCs w:val="21"/>
        </w:rPr>
      </w:pPr>
      <w:bookmarkStart w:id="283" w:name="_Toc22051"/>
      <w:bookmarkStart w:id="284" w:name="_Toc470096319"/>
      <w:bookmarkStart w:id="285" w:name="_Toc438396742"/>
      <w:bookmarkStart w:id="286" w:name="_Toc34335292"/>
      <w:bookmarkStart w:id="287" w:name="_Toc12780"/>
      <w:bookmarkStart w:id="288" w:name="_Toc432194840"/>
      <w:bookmarkStart w:id="289" w:name="_Toc80867916"/>
      <w:bookmarkStart w:id="290" w:name="_Toc87622651"/>
      <w:bookmarkStart w:id="291" w:name="_Toc432106489"/>
      <w:r>
        <w:rPr>
          <w:rFonts w:hint="eastAsia" w:hAnsi="宋体"/>
          <w:b w:val="0"/>
          <w:bCs w:val="0"/>
          <w:color w:val="000000"/>
          <w:kern w:val="2"/>
          <w:sz w:val="21"/>
          <w:szCs w:val="21"/>
        </w:rPr>
        <w:t>12.1响应文件须竞争性磋商文件要求的格式进行编制。</w:t>
      </w:r>
    </w:p>
    <w:p>
      <w:pPr>
        <w:pStyle w:val="5"/>
        <w:tabs>
          <w:tab w:val="left" w:pos="0"/>
        </w:tabs>
        <w:adjustRightInd w:val="0"/>
        <w:snapToGrid w:val="0"/>
        <w:spacing w:before="0" w:after="0"/>
        <w:ind w:firstLine="420"/>
        <w:jc w:val="left"/>
        <w:rPr>
          <w:rFonts w:hAnsi="宋体"/>
          <w:b w:val="0"/>
          <w:bCs w:val="0"/>
          <w:color w:val="000000"/>
          <w:kern w:val="2"/>
          <w:sz w:val="21"/>
          <w:szCs w:val="21"/>
        </w:rPr>
      </w:pPr>
      <w:r>
        <w:rPr>
          <w:rFonts w:hint="eastAsia" w:hAnsi="宋体"/>
          <w:b w:val="0"/>
          <w:bCs w:val="0"/>
          <w:color w:val="000000"/>
          <w:kern w:val="2"/>
          <w:sz w:val="21"/>
          <w:szCs w:val="21"/>
        </w:rPr>
        <w:t>12.2响应文件应尽量避免涂改、行间插字或删除。如果出现上述情况，改动之处应加电子签章或由供应商的法定代表人或其委托代理人签字确认。</w:t>
      </w:r>
    </w:p>
    <w:p>
      <w:pPr>
        <w:pStyle w:val="5"/>
        <w:tabs>
          <w:tab w:val="left" w:pos="0"/>
        </w:tabs>
        <w:adjustRightInd w:val="0"/>
        <w:snapToGrid w:val="0"/>
        <w:spacing w:before="0" w:after="0"/>
        <w:ind w:firstLine="420"/>
        <w:jc w:val="left"/>
        <w:rPr>
          <w:rFonts w:hAnsi="宋体"/>
          <w:b w:val="0"/>
          <w:bCs w:val="0"/>
          <w:color w:val="000000"/>
          <w:kern w:val="2"/>
          <w:sz w:val="21"/>
          <w:szCs w:val="21"/>
        </w:rPr>
      </w:pPr>
      <w:r>
        <w:rPr>
          <w:rFonts w:hint="eastAsia" w:hAnsi="宋体"/>
          <w:b w:val="0"/>
          <w:bCs w:val="0"/>
          <w:color w:val="000000"/>
          <w:kern w:val="2"/>
          <w:sz w:val="21"/>
          <w:szCs w:val="21"/>
        </w:rPr>
        <w:t>12.3关键内容字迹潦草、表达不清、未按要求填写而导致非唯一理解，视为未实质性响应竞争性磋商文件的响应文件。</w:t>
      </w:r>
    </w:p>
    <w:p>
      <w:pPr>
        <w:pStyle w:val="5"/>
        <w:tabs>
          <w:tab w:val="left" w:pos="0"/>
        </w:tabs>
        <w:adjustRightInd w:val="0"/>
        <w:snapToGrid w:val="0"/>
        <w:spacing w:before="0" w:after="0"/>
        <w:ind w:firstLine="420"/>
        <w:jc w:val="left"/>
        <w:rPr>
          <w:rFonts w:hAnsi="宋体"/>
          <w:b w:val="0"/>
          <w:bCs w:val="0"/>
          <w:color w:val="000000"/>
          <w:kern w:val="2"/>
          <w:sz w:val="21"/>
          <w:szCs w:val="21"/>
        </w:rPr>
      </w:pPr>
      <w:r>
        <w:rPr>
          <w:rFonts w:hint="eastAsia" w:hAnsi="宋体"/>
          <w:b w:val="0"/>
          <w:bCs w:val="0"/>
          <w:color w:val="000000"/>
          <w:kern w:val="2"/>
          <w:sz w:val="21"/>
          <w:szCs w:val="21"/>
        </w:rPr>
        <w:t>12.4响应文件中提供的资料（包括复印件及扫描件），内容必须清晰可辨，若内容模糊，无法辨识，均视为未提供。</w:t>
      </w:r>
    </w:p>
    <w:p>
      <w:pPr>
        <w:pStyle w:val="5"/>
        <w:tabs>
          <w:tab w:val="left" w:pos="0"/>
        </w:tabs>
        <w:adjustRightInd w:val="0"/>
        <w:snapToGrid w:val="0"/>
        <w:spacing w:before="0" w:after="0"/>
        <w:ind w:firstLine="420"/>
        <w:jc w:val="left"/>
        <w:rPr>
          <w:rFonts w:hAnsi="宋体"/>
          <w:b w:val="0"/>
          <w:bCs w:val="0"/>
          <w:kern w:val="2"/>
          <w:sz w:val="21"/>
          <w:szCs w:val="21"/>
        </w:rPr>
      </w:pPr>
      <w:r>
        <w:rPr>
          <w:rFonts w:hint="eastAsia" w:hAnsi="宋体"/>
          <w:b w:val="0"/>
          <w:bCs w:val="0"/>
          <w:color w:val="000000"/>
          <w:kern w:val="2"/>
          <w:sz w:val="21"/>
          <w:szCs w:val="21"/>
        </w:rPr>
        <w:t>12.5响应文件全部采用电子文档，除供应商须知前附表另有规定外，响应文件所附证书证件均为原件扫描件,并采用单位和个人数字证书，按竞争性磋商文件要求在相应位置加盖电子签章。由供应商的法定代表人</w:t>
      </w:r>
      <w:r>
        <w:rPr>
          <w:rFonts w:hint="eastAsia" w:hAnsi="宋体"/>
          <w:b w:val="0"/>
          <w:bCs w:val="0"/>
          <w:kern w:val="2"/>
          <w:sz w:val="21"/>
          <w:szCs w:val="21"/>
        </w:rPr>
        <w:t>(单位负责人)签字或加盖电子签章的，应附法定代表人(单位负责人)身份证明，由代理人签字或加盖电子签章的，应附由法定代表人(单位负责人)签署的授权委托书。</w:t>
      </w:r>
    </w:p>
    <w:p>
      <w:pPr>
        <w:pStyle w:val="5"/>
        <w:tabs>
          <w:tab w:val="left" w:pos="0"/>
        </w:tabs>
        <w:adjustRightInd w:val="0"/>
        <w:snapToGrid w:val="0"/>
        <w:spacing w:before="0" w:after="0"/>
        <w:ind w:firstLine="0" w:firstLineChars="0"/>
        <w:jc w:val="left"/>
        <w:rPr>
          <w:rFonts w:hAnsi="宋体"/>
          <w:sz w:val="24"/>
          <w:szCs w:val="24"/>
        </w:rPr>
      </w:pPr>
      <w:r>
        <w:rPr>
          <w:rFonts w:hint="eastAsia" w:hAnsi="宋体"/>
          <w:sz w:val="24"/>
          <w:szCs w:val="24"/>
        </w:rPr>
        <w:t>1</w:t>
      </w:r>
      <w:r>
        <w:rPr>
          <w:rFonts w:hAnsi="宋体"/>
          <w:sz w:val="24"/>
          <w:szCs w:val="24"/>
        </w:rPr>
        <w:t>3.</w:t>
      </w:r>
      <w:r>
        <w:rPr>
          <w:rFonts w:hint="eastAsia" w:hAnsi="宋体"/>
          <w:sz w:val="24"/>
          <w:szCs w:val="24"/>
        </w:rPr>
        <w:t>磋商保证金</w:t>
      </w:r>
      <w:bookmarkEnd w:id="283"/>
      <w:bookmarkEnd w:id="284"/>
      <w:bookmarkEnd w:id="285"/>
      <w:bookmarkEnd w:id="286"/>
      <w:bookmarkEnd w:id="287"/>
      <w:bookmarkEnd w:id="288"/>
      <w:bookmarkEnd w:id="289"/>
      <w:bookmarkEnd w:id="290"/>
      <w:bookmarkEnd w:id="291"/>
    </w:p>
    <w:p>
      <w:pPr>
        <w:adjustRightInd w:val="0"/>
        <w:snapToGrid w:val="0"/>
        <w:spacing w:line="360" w:lineRule="auto"/>
        <w:ind w:firstLine="420" w:firstLineChars="200"/>
        <w:rPr>
          <w:rFonts w:ascii="宋体" w:hAnsi="宋体"/>
          <w:szCs w:val="21"/>
        </w:rPr>
      </w:pPr>
      <w:r>
        <w:rPr>
          <w:rFonts w:hint="eastAsia" w:ascii="宋体" w:hAnsi="宋体"/>
          <w:szCs w:val="21"/>
        </w:rPr>
        <w:t>13.1磋商保证金为人民币。供应商应在递交响应文件截止时间以前按</w:t>
      </w:r>
      <w:r>
        <w:rPr>
          <w:rFonts w:ascii="宋体" w:hAnsi="宋体"/>
          <w:szCs w:val="21"/>
        </w:rPr>
        <w:t>“</w:t>
      </w:r>
      <w:r>
        <w:rPr>
          <w:rFonts w:hint="eastAsia" w:ascii="宋体" w:hAnsi="宋体"/>
          <w:b/>
          <w:szCs w:val="21"/>
        </w:rPr>
        <w:t>供应商须知前附表</w:t>
      </w:r>
      <w:r>
        <w:rPr>
          <w:rFonts w:ascii="宋体" w:hAnsi="宋体"/>
          <w:szCs w:val="21"/>
        </w:rPr>
        <w:t>”</w:t>
      </w:r>
      <w:r>
        <w:rPr>
          <w:rFonts w:hint="eastAsia" w:ascii="宋体" w:hAnsi="宋体"/>
          <w:szCs w:val="21"/>
        </w:rPr>
        <w:t>规定的方式及金额缴纳保证金，并在磋商有效期内保持有效。</w:t>
      </w:r>
    </w:p>
    <w:p>
      <w:pPr>
        <w:adjustRightInd w:val="0"/>
        <w:snapToGrid w:val="0"/>
        <w:spacing w:line="360" w:lineRule="auto"/>
        <w:ind w:firstLine="420" w:firstLineChars="200"/>
        <w:rPr>
          <w:rFonts w:ascii="宋体" w:hAnsi="宋体"/>
          <w:szCs w:val="21"/>
        </w:rPr>
      </w:pPr>
      <w:r>
        <w:rPr>
          <w:rFonts w:ascii="宋体" w:hAnsi="宋体"/>
          <w:szCs w:val="21"/>
        </w:rPr>
        <w:t>13.</w:t>
      </w:r>
      <w:r>
        <w:rPr>
          <w:rFonts w:hint="eastAsia" w:ascii="宋体" w:hAnsi="宋体"/>
          <w:szCs w:val="21"/>
        </w:rPr>
        <w:t>2采购代理机构在成交通知书发出后5个工作日内向未成交供应商退还磋商保证金及同期银行存款利息，在采购合同签订后5个工作日内向成交供应商退还磋商保证金及同期银行存款利息。</w:t>
      </w:r>
    </w:p>
    <w:p>
      <w:pPr>
        <w:adjustRightInd w:val="0"/>
        <w:snapToGrid w:val="0"/>
        <w:spacing w:line="360" w:lineRule="auto"/>
        <w:ind w:firstLine="420" w:firstLineChars="200"/>
        <w:rPr>
          <w:rFonts w:ascii="宋体" w:hAnsi="宋体"/>
          <w:szCs w:val="21"/>
        </w:rPr>
      </w:pPr>
      <w:r>
        <w:rPr>
          <w:rFonts w:ascii="宋体" w:hAnsi="宋体"/>
          <w:szCs w:val="21"/>
        </w:rPr>
        <w:t>13.</w:t>
      </w:r>
      <w:r>
        <w:rPr>
          <w:rFonts w:hint="eastAsia" w:ascii="宋体" w:hAnsi="宋体"/>
          <w:szCs w:val="21"/>
        </w:rPr>
        <w:t>3下列情况发生时，磋商保证金将不予退还：</w:t>
      </w:r>
    </w:p>
    <w:p>
      <w:pPr>
        <w:adjustRightInd w:val="0"/>
        <w:snapToGrid w:val="0"/>
        <w:spacing w:line="360" w:lineRule="auto"/>
        <w:ind w:firstLine="420" w:firstLineChars="200"/>
        <w:rPr>
          <w:rFonts w:ascii="宋体" w:hAnsi="宋体"/>
          <w:szCs w:val="21"/>
        </w:rPr>
      </w:pPr>
      <w:r>
        <w:rPr>
          <w:rFonts w:hint="eastAsia" w:ascii="宋体" w:hAnsi="宋体"/>
          <w:szCs w:val="21"/>
        </w:rPr>
        <w:t>（一）供应商在提交响应文件截止时间后撤回响应文件的；</w:t>
      </w:r>
    </w:p>
    <w:p>
      <w:pPr>
        <w:adjustRightInd w:val="0"/>
        <w:snapToGrid w:val="0"/>
        <w:spacing w:line="360" w:lineRule="auto"/>
        <w:ind w:firstLine="420" w:firstLineChars="200"/>
        <w:rPr>
          <w:rFonts w:ascii="宋体" w:hAnsi="宋体"/>
          <w:szCs w:val="21"/>
        </w:rPr>
      </w:pPr>
      <w:r>
        <w:rPr>
          <w:rFonts w:hint="eastAsia" w:ascii="宋体" w:hAnsi="宋体"/>
          <w:szCs w:val="21"/>
        </w:rPr>
        <w:t>（二）供应商在响应文件中提供虚假材料的；</w:t>
      </w:r>
    </w:p>
    <w:p>
      <w:pPr>
        <w:adjustRightInd w:val="0"/>
        <w:snapToGrid w:val="0"/>
        <w:spacing w:line="360" w:lineRule="auto"/>
        <w:ind w:firstLine="420" w:firstLineChars="200"/>
        <w:rPr>
          <w:rFonts w:ascii="宋体" w:hAnsi="宋体"/>
          <w:szCs w:val="21"/>
        </w:rPr>
      </w:pPr>
      <w:r>
        <w:rPr>
          <w:rFonts w:hint="eastAsia" w:ascii="宋体" w:hAnsi="宋体"/>
          <w:szCs w:val="21"/>
        </w:rPr>
        <w:t>（三）除因不可抗力或磋商文件、磋商通知书认可的情形以外，成交供应商不与采购人签订合同的；</w:t>
      </w:r>
    </w:p>
    <w:p>
      <w:pPr>
        <w:adjustRightInd w:val="0"/>
        <w:snapToGrid w:val="0"/>
        <w:spacing w:line="360" w:lineRule="auto"/>
        <w:ind w:firstLine="420" w:firstLineChars="200"/>
        <w:rPr>
          <w:rFonts w:ascii="宋体" w:hAnsi="宋体"/>
          <w:szCs w:val="21"/>
        </w:rPr>
      </w:pPr>
      <w:r>
        <w:rPr>
          <w:rFonts w:hint="eastAsia" w:ascii="宋体" w:hAnsi="宋体"/>
          <w:szCs w:val="21"/>
        </w:rPr>
        <w:t>（四）供应商与采购人、其他供应商或者采购代理机构恶意串通的；</w:t>
      </w:r>
    </w:p>
    <w:p>
      <w:pPr>
        <w:adjustRightInd w:val="0"/>
        <w:snapToGrid w:val="0"/>
        <w:spacing w:line="360" w:lineRule="auto"/>
        <w:ind w:firstLine="420" w:firstLineChars="200"/>
        <w:rPr>
          <w:rFonts w:ascii="宋体" w:hAnsi="宋体"/>
          <w:szCs w:val="21"/>
        </w:rPr>
      </w:pPr>
      <w:r>
        <w:rPr>
          <w:rFonts w:hint="eastAsia" w:ascii="宋体" w:hAnsi="宋体"/>
          <w:szCs w:val="21"/>
        </w:rPr>
        <w:t>（五）磋商文件规定的其他情形。</w:t>
      </w:r>
    </w:p>
    <w:p>
      <w:pPr>
        <w:pStyle w:val="4"/>
        <w:adjustRightInd w:val="0"/>
        <w:snapToGrid w:val="0"/>
        <w:spacing w:before="0" w:after="0"/>
      </w:pPr>
      <w:bookmarkStart w:id="292" w:name="_Toc20598"/>
      <w:bookmarkStart w:id="293" w:name="_Toc17807"/>
      <w:bookmarkStart w:id="294" w:name="_Toc12812"/>
      <w:bookmarkStart w:id="295" w:name="_Toc87622652"/>
      <w:bookmarkStart w:id="296" w:name="_Toc470096320"/>
      <w:bookmarkStart w:id="297" w:name="_Toc28588"/>
      <w:bookmarkStart w:id="298" w:name="_Toc34335293"/>
      <w:bookmarkStart w:id="299" w:name="_Toc86124061"/>
      <w:bookmarkStart w:id="300" w:name="_Toc80867917"/>
      <w:bookmarkStart w:id="301" w:name="_Toc12187"/>
      <w:r>
        <w:rPr>
          <w:rFonts w:hint="eastAsia"/>
        </w:rPr>
        <w:t>四、响应文件的提交</w:t>
      </w:r>
      <w:bookmarkEnd w:id="292"/>
      <w:bookmarkEnd w:id="293"/>
      <w:bookmarkEnd w:id="294"/>
      <w:bookmarkEnd w:id="295"/>
      <w:bookmarkEnd w:id="296"/>
      <w:bookmarkEnd w:id="297"/>
      <w:bookmarkEnd w:id="298"/>
      <w:bookmarkEnd w:id="299"/>
      <w:bookmarkEnd w:id="300"/>
      <w:bookmarkEnd w:id="301"/>
    </w:p>
    <w:p>
      <w:pPr>
        <w:pStyle w:val="5"/>
        <w:tabs>
          <w:tab w:val="left" w:pos="0"/>
        </w:tabs>
        <w:adjustRightInd w:val="0"/>
        <w:snapToGrid w:val="0"/>
        <w:spacing w:before="0" w:after="0"/>
        <w:ind w:firstLine="0" w:firstLineChars="0"/>
        <w:jc w:val="left"/>
        <w:rPr>
          <w:rFonts w:hAnsi="宋体"/>
          <w:sz w:val="24"/>
          <w:szCs w:val="24"/>
        </w:rPr>
      </w:pPr>
      <w:bookmarkStart w:id="302" w:name="_Toc470096321"/>
      <w:bookmarkStart w:id="303" w:name="_Toc383175068"/>
      <w:bookmarkStart w:id="304" w:name="_Toc383175490"/>
      <w:bookmarkStart w:id="305" w:name="_Toc432106491"/>
      <w:bookmarkStart w:id="306" w:name="_Toc383175292"/>
      <w:bookmarkStart w:id="307" w:name="_Toc26587"/>
      <w:bookmarkStart w:id="308" w:name="_Toc329810202"/>
      <w:bookmarkStart w:id="309" w:name="_Toc34335294"/>
      <w:bookmarkStart w:id="310" w:name="_Toc87622653"/>
      <w:bookmarkStart w:id="311" w:name="_Toc438396744"/>
      <w:bookmarkStart w:id="312" w:name="_Toc86124062"/>
      <w:bookmarkStart w:id="313" w:name="_Toc80867918"/>
      <w:bookmarkStart w:id="314" w:name="_Toc29242"/>
      <w:bookmarkStart w:id="315" w:name="_Toc432194842"/>
      <w:r>
        <w:rPr>
          <w:rFonts w:hint="eastAsia" w:hAnsi="宋体"/>
          <w:sz w:val="24"/>
          <w:szCs w:val="24"/>
        </w:rPr>
        <w:t>1</w:t>
      </w:r>
      <w:r>
        <w:rPr>
          <w:rFonts w:hAnsi="宋体"/>
          <w:sz w:val="24"/>
          <w:szCs w:val="24"/>
        </w:rPr>
        <w:t>4.</w:t>
      </w:r>
      <w:r>
        <w:rPr>
          <w:rFonts w:hint="eastAsia" w:hAnsi="宋体"/>
          <w:sz w:val="24"/>
          <w:szCs w:val="24"/>
        </w:rPr>
        <w:t>响应文件的密封与标记</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pPr>
        <w:adjustRightInd w:val="0"/>
        <w:snapToGrid w:val="0"/>
        <w:spacing w:line="360" w:lineRule="auto"/>
        <w:ind w:firstLine="420" w:firstLineChars="200"/>
        <w:rPr>
          <w:rFonts w:ascii="宋体" w:hAnsi="宋体"/>
          <w:szCs w:val="21"/>
        </w:rPr>
      </w:pPr>
      <w:r>
        <w:rPr>
          <w:rFonts w:ascii="宋体" w:hAnsi="宋体"/>
          <w:szCs w:val="21"/>
        </w:rPr>
        <w:t>14.1详见“</w:t>
      </w:r>
      <w:r>
        <w:rPr>
          <w:rFonts w:hint="eastAsia" w:ascii="宋体" w:hAnsi="宋体"/>
          <w:b/>
          <w:szCs w:val="21"/>
        </w:rPr>
        <w:t>供应商须知前附表</w:t>
      </w:r>
      <w:r>
        <w:rPr>
          <w:rFonts w:ascii="宋体" w:hAnsi="宋体"/>
          <w:szCs w:val="21"/>
        </w:rPr>
        <w:t>”</w:t>
      </w:r>
      <w:r>
        <w:rPr>
          <w:rFonts w:hint="eastAsia" w:ascii="宋体" w:hAnsi="宋体"/>
          <w:szCs w:val="21"/>
        </w:rPr>
        <w:t>。</w:t>
      </w:r>
    </w:p>
    <w:p>
      <w:pPr>
        <w:pStyle w:val="5"/>
        <w:tabs>
          <w:tab w:val="left" w:pos="0"/>
        </w:tabs>
        <w:adjustRightInd w:val="0"/>
        <w:snapToGrid w:val="0"/>
        <w:spacing w:before="0" w:after="0"/>
        <w:ind w:firstLine="0" w:firstLineChars="0"/>
        <w:jc w:val="left"/>
        <w:rPr>
          <w:rFonts w:hAnsi="宋体"/>
          <w:sz w:val="24"/>
          <w:szCs w:val="24"/>
        </w:rPr>
      </w:pPr>
      <w:bookmarkStart w:id="316" w:name="_Toc438396745"/>
      <w:bookmarkStart w:id="317" w:name="_Toc383175293"/>
      <w:bookmarkStart w:id="318" w:name="_Toc432194843"/>
      <w:bookmarkStart w:id="319" w:name="_Toc25752"/>
      <w:bookmarkStart w:id="320" w:name="_Toc86124063"/>
      <w:bookmarkStart w:id="321" w:name="_Toc329810203"/>
      <w:bookmarkStart w:id="322" w:name="_Toc432106492"/>
      <w:bookmarkStart w:id="323" w:name="_Toc8698"/>
      <w:bookmarkStart w:id="324" w:name="_Toc383175491"/>
      <w:bookmarkStart w:id="325" w:name="_Toc80867919"/>
      <w:bookmarkStart w:id="326" w:name="_Toc383175069"/>
      <w:bookmarkStart w:id="327" w:name="_Toc87622654"/>
      <w:bookmarkStart w:id="328" w:name="_Toc34335295"/>
      <w:bookmarkStart w:id="329" w:name="_Toc470096322"/>
      <w:bookmarkStart w:id="330" w:name="_Toc34335296"/>
      <w:bookmarkStart w:id="331" w:name="_Toc80867920"/>
      <w:bookmarkStart w:id="332" w:name="_Toc86124064"/>
      <w:bookmarkStart w:id="333" w:name="_Toc470096323"/>
      <w:r>
        <w:rPr>
          <w:rFonts w:hint="eastAsia" w:hAnsi="宋体"/>
          <w:sz w:val="24"/>
          <w:szCs w:val="24"/>
        </w:rPr>
        <w:t>1</w:t>
      </w:r>
      <w:r>
        <w:rPr>
          <w:rFonts w:hAnsi="宋体"/>
          <w:sz w:val="24"/>
          <w:szCs w:val="24"/>
        </w:rPr>
        <w:t>5.</w:t>
      </w:r>
      <w:r>
        <w:rPr>
          <w:rFonts w:hint="eastAsia" w:hAnsi="宋体"/>
          <w:sz w:val="24"/>
          <w:szCs w:val="24"/>
        </w:rPr>
        <w:t>递交响应文件的截止时间和地点</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adjustRightInd w:val="0"/>
        <w:snapToGrid w:val="0"/>
        <w:spacing w:line="360" w:lineRule="auto"/>
        <w:ind w:firstLine="420" w:firstLineChars="200"/>
        <w:rPr>
          <w:rFonts w:ascii="宋体" w:hAnsi="宋体"/>
          <w:szCs w:val="21"/>
        </w:rPr>
      </w:pPr>
      <w:r>
        <w:rPr>
          <w:rFonts w:ascii="宋体" w:hAnsi="宋体"/>
          <w:szCs w:val="21"/>
        </w:rPr>
        <w:t xml:space="preserve">15.1 </w:t>
      </w:r>
      <w:r>
        <w:rPr>
          <w:rFonts w:hint="eastAsia" w:ascii="宋体" w:hAnsi="宋体"/>
          <w:szCs w:val="21"/>
        </w:rPr>
        <w:t>响应文件的递交不得迟于</w:t>
      </w:r>
      <w:r>
        <w:rPr>
          <w:rFonts w:ascii="宋体" w:hAnsi="宋体"/>
          <w:szCs w:val="21"/>
        </w:rPr>
        <w:t>“</w:t>
      </w:r>
      <w:r>
        <w:rPr>
          <w:rFonts w:hint="eastAsia" w:ascii="宋体" w:hAnsi="宋体"/>
          <w:b/>
          <w:szCs w:val="21"/>
        </w:rPr>
        <w:t>供应商须知前附表</w:t>
      </w:r>
      <w:r>
        <w:rPr>
          <w:rFonts w:ascii="宋体" w:hAnsi="宋体"/>
          <w:szCs w:val="21"/>
        </w:rPr>
        <w:t>”</w:t>
      </w:r>
      <w:r>
        <w:rPr>
          <w:rFonts w:hint="eastAsia" w:ascii="宋体" w:hAnsi="宋体"/>
          <w:szCs w:val="21"/>
        </w:rPr>
        <w:t>规定的递交响应文件截止时间</w:t>
      </w:r>
      <w:r>
        <w:rPr>
          <w:rFonts w:hint="eastAsia" w:ascii="宋体" w:hAnsi="宋体"/>
          <w:b/>
          <w:szCs w:val="21"/>
        </w:rPr>
        <w:t>。</w:t>
      </w:r>
    </w:p>
    <w:p>
      <w:pPr>
        <w:adjustRightInd w:val="0"/>
        <w:snapToGrid w:val="0"/>
        <w:spacing w:line="360" w:lineRule="auto"/>
        <w:ind w:firstLine="420" w:firstLineChars="200"/>
        <w:rPr>
          <w:rFonts w:ascii="宋体" w:hAnsi="宋体"/>
          <w:b/>
          <w:szCs w:val="21"/>
        </w:rPr>
      </w:pPr>
      <w:r>
        <w:rPr>
          <w:rFonts w:ascii="宋体" w:hAnsi="宋体"/>
          <w:szCs w:val="21"/>
        </w:rPr>
        <w:t xml:space="preserve">15.2 </w:t>
      </w:r>
      <w:r>
        <w:rPr>
          <w:rFonts w:hint="eastAsia" w:ascii="宋体" w:hAnsi="宋体"/>
          <w:szCs w:val="21"/>
        </w:rPr>
        <w:t>供应商必须在规定时间内将响应文件递交到</w:t>
      </w:r>
      <w:r>
        <w:rPr>
          <w:rFonts w:ascii="宋体" w:hAnsi="宋体"/>
          <w:szCs w:val="21"/>
        </w:rPr>
        <w:t>“</w:t>
      </w:r>
      <w:r>
        <w:rPr>
          <w:rFonts w:hint="eastAsia" w:ascii="宋体" w:hAnsi="宋体"/>
          <w:b/>
          <w:szCs w:val="21"/>
        </w:rPr>
        <w:t>供应商须知前附表</w:t>
      </w:r>
      <w:r>
        <w:rPr>
          <w:rFonts w:ascii="宋体" w:hAnsi="宋体"/>
          <w:szCs w:val="21"/>
        </w:rPr>
        <w:t>”</w:t>
      </w:r>
      <w:r>
        <w:rPr>
          <w:rFonts w:hint="eastAsia" w:ascii="宋体" w:hAnsi="宋体"/>
          <w:szCs w:val="21"/>
        </w:rPr>
        <w:t>规定的地点。</w:t>
      </w:r>
    </w:p>
    <w:p>
      <w:pPr>
        <w:adjustRightInd w:val="0"/>
        <w:snapToGrid w:val="0"/>
        <w:spacing w:line="360" w:lineRule="auto"/>
        <w:ind w:firstLine="420" w:firstLineChars="200"/>
        <w:rPr>
          <w:rFonts w:ascii="宋体" w:hAnsi="宋体"/>
          <w:szCs w:val="21"/>
        </w:rPr>
      </w:pPr>
      <w:r>
        <w:rPr>
          <w:rFonts w:ascii="宋体" w:hAnsi="宋体"/>
          <w:szCs w:val="21"/>
        </w:rPr>
        <w:t>15.3</w:t>
      </w:r>
      <w:r>
        <w:rPr>
          <w:rFonts w:hint="eastAsia" w:ascii="宋体" w:hAnsi="宋体"/>
          <w:szCs w:val="21"/>
        </w:rPr>
        <w:t>除</w:t>
      </w:r>
      <w:r>
        <w:rPr>
          <w:rFonts w:ascii="宋体" w:hAnsi="宋体"/>
          <w:szCs w:val="21"/>
        </w:rPr>
        <w:t>“</w:t>
      </w:r>
      <w:r>
        <w:rPr>
          <w:rFonts w:hint="eastAsia" w:ascii="宋体" w:hAnsi="宋体"/>
          <w:b/>
          <w:szCs w:val="21"/>
        </w:rPr>
        <w:t>供应商须知前附表</w:t>
      </w:r>
      <w:r>
        <w:rPr>
          <w:rFonts w:ascii="宋体" w:hAnsi="宋体"/>
          <w:szCs w:val="21"/>
        </w:rPr>
        <w:t>”</w:t>
      </w:r>
      <w:r>
        <w:rPr>
          <w:rFonts w:hint="eastAsia" w:ascii="宋体" w:hAnsi="宋体"/>
          <w:szCs w:val="21"/>
        </w:rPr>
        <w:t>另有规定外，供应商所递交的响应文件不予退还。</w:t>
      </w:r>
    </w:p>
    <w:p>
      <w:pPr>
        <w:pStyle w:val="4"/>
        <w:adjustRightInd w:val="0"/>
        <w:snapToGrid w:val="0"/>
        <w:spacing w:before="0" w:after="0"/>
      </w:pPr>
      <w:bookmarkStart w:id="334" w:name="_Toc29384"/>
      <w:bookmarkStart w:id="335" w:name="_Toc27655"/>
      <w:bookmarkStart w:id="336" w:name="_Toc25495"/>
      <w:bookmarkStart w:id="337" w:name="_Toc18857"/>
      <w:bookmarkStart w:id="338" w:name="_Toc3468"/>
      <w:bookmarkStart w:id="339" w:name="_Toc87622655"/>
      <w:r>
        <w:rPr>
          <w:rFonts w:hint="eastAsia"/>
        </w:rPr>
        <w:t>五、磋商</w:t>
      </w:r>
      <w:bookmarkEnd w:id="330"/>
      <w:bookmarkEnd w:id="331"/>
      <w:bookmarkEnd w:id="332"/>
      <w:bookmarkEnd w:id="333"/>
      <w:bookmarkEnd w:id="334"/>
      <w:bookmarkEnd w:id="335"/>
      <w:bookmarkEnd w:id="336"/>
      <w:bookmarkEnd w:id="337"/>
      <w:bookmarkEnd w:id="338"/>
      <w:bookmarkEnd w:id="339"/>
    </w:p>
    <w:p>
      <w:pPr>
        <w:pStyle w:val="5"/>
        <w:tabs>
          <w:tab w:val="left" w:pos="0"/>
        </w:tabs>
        <w:adjustRightInd w:val="0"/>
        <w:snapToGrid w:val="0"/>
        <w:spacing w:before="0" w:after="0"/>
        <w:ind w:firstLine="0" w:firstLineChars="0"/>
        <w:jc w:val="left"/>
        <w:rPr>
          <w:rFonts w:hAnsi="宋体"/>
          <w:sz w:val="24"/>
          <w:szCs w:val="24"/>
        </w:rPr>
      </w:pPr>
      <w:bookmarkStart w:id="340" w:name="_Toc438396747"/>
      <w:bookmarkStart w:id="341" w:name="_Toc30886"/>
      <w:bookmarkStart w:id="342" w:name="_Toc5606"/>
      <w:bookmarkStart w:id="343" w:name="_Toc80867921"/>
      <w:bookmarkStart w:id="344" w:name="_Toc432194845"/>
      <w:bookmarkStart w:id="345" w:name="_Toc87622656"/>
      <w:bookmarkStart w:id="346" w:name="_Toc34335297"/>
      <w:bookmarkStart w:id="347" w:name="_Toc432106494"/>
      <w:bookmarkStart w:id="348" w:name="_Toc470096324"/>
      <w:r>
        <w:rPr>
          <w:rFonts w:hint="eastAsia" w:hAnsi="宋体"/>
          <w:sz w:val="24"/>
          <w:szCs w:val="24"/>
        </w:rPr>
        <w:t>1</w:t>
      </w:r>
      <w:r>
        <w:rPr>
          <w:rFonts w:hAnsi="宋体"/>
          <w:sz w:val="24"/>
          <w:szCs w:val="24"/>
        </w:rPr>
        <w:t>6.</w:t>
      </w:r>
      <w:r>
        <w:rPr>
          <w:rFonts w:hint="eastAsia" w:hAnsi="宋体"/>
          <w:sz w:val="24"/>
          <w:szCs w:val="24"/>
        </w:rPr>
        <w:t>磋商</w:t>
      </w:r>
      <w:bookmarkEnd w:id="340"/>
      <w:bookmarkEnd w:id="341"/>
      <w:bookmarkEnd w:id="342"/>
      <w:bookmarkEnd w:id="343"/>
      <w:bookmarkEnd w:id="344"/>
      <w:bookmarkEnd w:id="345"/>
      <w:bookmarkEnd w:id="346"/>
      <w:bookmarkEnd w:id="347"/>
      <w:bookmarkEnd w:id="348"/>
    </w:p>
    <w:p>
      <w:pPr>
        <w:adjustRightInd w:val="0"/>
        <w:snapToGrid w:val="0"/>
        <w:spacing w:line="360" w:lineRule="auto"/>
        <w:ind w:firstLine="420" w:firstLineChars="200"/>
        <w:rPr>
          <w:rFonts w:ascii="宋体" w:hAnsi="宋体"/>
          <w:szCs w:val="21"/>
        </w:rPr>
      </w:pPr>
      <w:r>
        <w:rPr>
          <w:rFonts w:ascii="宋体" w:hAnsi="宋体"/>
          <w:szCs w:val="21"/>
        </w:rPr>
        <w:t>16.1</w:t>
      </w:r>
      <w:r>
        <w:rPr>
          <w:rFonts w:hint="eastAsia" w:ascii="宋体" w:hAnsi="宋体"/>
          <w:szCs w:val="21"/>
        </w:rPr>
        <w:t>采购代理机构将在</w:t>
      </w:r>
      <w:r>
        <w:rPr>
          <w:rFonts w:ascii="宋体" w:hAnsi="宋体"/>
          <w:szCs w:val="21"/>
        </w:rPr>
        <w:t>“</w:t>
      </w:r>
      <w:r>
        <w:rPr>
          <w:rFonts w:hint="eastAsia" w:ascii="宋体" w:hAnsi="宋体"/>
          <w:b/>
          <w:szCs w:val="21"/>
        </w:rPr>
        <w:t>供应商须知前附表</w:t>
      </w:r>
      <w:r>
        <w:rPr>
          <w:rFonts w:ascii="宋体" w:hAnsi="宋体"/>
          <w:szCs w:val="21"/>
        </w:rPr>
        <w:t>”</w:t>
      </w:r>
      <w:r>
        <w:rPr>
          <w:rFonts w:hint="eastAsia" w:ascii="宋体" w:hAnsi="宋体"/>
          <w:szCs w:val="21"/>
        </w:rPr>
        <w:t>规定的时间和地点进行磋商，供应商的法定代表人或其授权代表应按时参加。</w:t>
      </w:r>
    </w:p>
    <w:p>
      <w:pPr>
        <w:adjustRightInd w:val="0"/>
        <w:snapToGrid w:val="0"/>
        <w:spacing w:line="360" w:lineRule="auto"/>
        <w:ind w:firstLine="420" w:firstLineChars="200"/>
        <w:rPr>
          <w:rFonts w:ascii="宋体" w:hAnsi="宋体"/>
          <w:szCs w:val="21"/>
        </w:rPr>
      </w:pPr>
      <w:r>
        <w:rPr>
          <w:rFonts w:ascii="宋体" w:hAnsi="宋体"/>
          <w:szCs w:val="21"/>
        </w:rPr>
        <w:t xml:space="preserve">16.2 </w:t>
      </w:r>
      <w:r>
        <w:rPr>
          <w:rFonts w:hint="eastAsia" w:ascii="宋体" w:hAnsi="宋体"/>
          <w:szCs w:val="21"/>
        </w:rPr>
        <w:t>磋商由磋商小组负责。磋商小组由采购人代表和有关技术、经济等方面的专家组成，成员人数应当为3人或3人以上单数。其中，技术、经济等方面的专家不得少于成员总数的三分之二。磋商小组应当推选组长，但采购人代表不得担任组长。</w:t>
      </w:r>
    </w:p>
    <w:p>
      <w:pPr>
        <w:adjustRightInd w:val="0"/>
        <w:snapToGrid w:val="0"/>
        <w:spacing w:line="360" w:lineRule="auto"/>
        <w:ind w:firstLine="420" w:firstLineChars="200"/>
        <w:rPr>
          <w:rFonts w:ascii="宋体" w:hAnsi="宋体"/>
          <w:szCs w:val="21"/>
        </w:rPr>
      </w:pPr>
      <w:r>
        <w:rPr>
          <w:rFonts w:ascii="宋体" w:hAnsi="宋体"/>
          <w:szCs w:val="21"/>
        </w:rPr>
        <w:t xml:space="preserve">16.3 </w:t>
      </w:r>
      <w:r>
        <w:rPr>
          <w:rFonts w:hint="eastAsia" w:ascii="宋体" w:hAnsi="宋体"/>
          <w:szCs w:val="21"/>
        </w:rPr>
        <w:t>磋商原则</w:t>
      </w:r>
    </w:p>
    <w:p>
      <w:pPr>
        <w:tabs>
          <w:tab w:val="left" w:pos="7980"/>
        </w:tabs>
        <w:adjustRightInd w:val="0"/>
        <w:snapToGrid w:val="0"/>
        <w:spacing w:line="360" w:lineRule="auto"/>
        <w:ind w:firstLine="420" w:firstLineChars="200"/>
        <w:rPr>
          <w:rFonts w:ascii="宋体" w:hAnsi="宋体"/>
          <w:szCs w:val="21"/>
        </w:rPr>
      </w:pPr>
      <w:r>
        <w:rPr>
          <w:rFonts w:hint="eastAsia" w:ascii="宋体" w:hAnsi="宋体"/>
          <w:szCs w:val="21"/>
        </w:rPr>
        <w:t>磋商小组对各供应商的响应文件进行详细评审。磋商小组按照得分的高低推荐成交候选供应商，推荐成交候选供应商3人，并标明排列顺序。</w:t>
      </w:r>
    </w:p>
    <w:p>
      <w:pPr>
        <w:tabs>
          <w:tab w:val="left" w:pos="7980"/>
        </w:tabs>
        <w:adjustRightInd w:val="0"/>
        <w:snapToGrid w:val="0"/>
        <w:spacing w:line="360" w:lineRule="auto"/>
        <w:ind w:firstLine="420" w:firstLineChars="200"/>
        <w:rPr>
          <w:rFonts w:ascii="宋体" w:hAnsi="宋体"/>
          <w:szCs w:val="21"/>
        </w:rPr>
      </w:pPr>
      <w:r>
        <w:rPr>
          <w:rFonts w:ascii="宋体" w:hAnsi="宋体"/>
          <w:szCs w:val="21"/>
        </w:rPr>
        <w:t xml:space="preserve">16.4 </w:t>
      </w:r>
      <w:r>
        <w:rPr>
          <w:rFonts w:hint="eastAsia" w:ascii="宋体" w:hAnsi="宋体"/>
          <w:szCs w:val="21"/>
        </w:rPr>
        <w:t>磋商程序和方法</w:t>
      </w:r>
    </w:p>
    <w:p>
      <w:pPr>
        <w:adjustRightInd w:val="0"/>
        <w:snapToGrid w:val="0"/>
        <w:spacing w:line="360" w:lineRule="auto"/>
        <w:ind w:firstLine="420" w:firstLineChars="200"/>
        <w:rPr>
          <w:rFonts w:ascii="宋体" w:hAnsi="宋体"/>
          <w:szCs w:val="21"/>
        </w:rPr>
      </w:pPr>
      <w:r>
        <w:rPr>
          <w:rFonts w:hint="eastAsia" w:ascii="宋体" w:hAnsi="宋体"/>
          <w:szCs w:val="21"/>
        </w:rPr>
        <w:t>磋商小组按照</w:t>
      </w:r>
      <w:r>
        <w:rPr>
          <w:rFonts w:ascii="宋体" w:hAnsi="宋体"/>
          <w:szCs w:val="21"/>
        </w:rPr>
        <w:t xml:space="preserve"> “</w:t>
      </w:r>
      <w:r>
        <w:rPr>
          <w:rFonts w:hint="eastAsia" w:ascii="宋体" w:hAnsi="宋体"/>
          <w:b/>
          <w:szCs w:val="21"/>
        </w:rPr>
        <w:t>供应商须知前附表</w:t>
      </w:r>
      <w:r>
        <w:rPr>
          <w:rFonts w:ascii="宋体" w:hAnsi="宋体"/>
          <w:szCs w:val="21"/>
        </w:rPr>
        <w:t>”</w:t>
      </w:r>
      <w:r>
        <w:rPr>
          <w:rFonts w:hint="eastAsia" w:ascii="宋体" w:hAnsi="宋体"/>
          <w:szCs w:val="21"/>
        </w:rPr>
        <w:t>规定的方法、因素、标准和程序进行磋商。</w:t>
      </w:r>
    </w:p>
    <w:p>
      <w:pPr>
        <w:adjustRightInd w:val="0"/>
        <w:snapToGrid w:val="0"/>
        <w:spacing w:line="360" w:lineRule="auto"/>
        <w:ind w:firstLine="420" w:firstLineChars="200"/>
        <w:rPr>
          <w:rFonts w:ascii="宋体" w:hAnsi="宋体"/>
          <w:bCs/>
          <w:szCs w:val="21"/>
        </w:rPr>
      </w:pPr>
      <w:r>
        <w:rPr>
          <w:rFonts w:ascii="宋体" w:hAnsi="宋体"/>
          <w:szCs w:val="21"/>
        </w:rPr>
        <w:t>16.</w:t>
      </w:r>
      <w:r>
        <w:rPr>
          <w:rFonts w:hint="eastAsia" w:ascii="宋体" w:hAnsi="宋体"/>
          <w:szCs w:val="21"/>
        </w:rPr>
        <w:t>5磋商文件</w:t>
      </w:r>
      <w:r>
        <w:rPr>
          <w:rFonts w:hint="eastAsia" w:ascii="宋体" w:hAnsi="宋体"/>
          <w:b/>
          <w:szCs w:val="21"/>
        </w:rPr>
        <w:t>第六章《磋商程序和方法》前附表资格及符合性评审标准为磋商文件的实质性内容，未实质性响应磋商文件的供应商的响应文件将按无效处理，该供应商不得再继续参加磋商。</w:t>
      </w:r>
    </w:p>
    <w:p>
      <w:pPr>
        <w:adjustRightInd w:val="0"/>
        <w:snapToGrid w:val="0"/>
        <w:spacing w:line="360" w:lineRule="auto"/>
        <w:ind w:firstLine="420" w:firstLineChars="200"/>
        <w:rPr>
          <w:rFonts w:ascii="宋体" w:hAnsi="宋体"/>
          <w:szCs w:val="21"/>
        </w:rPr>
      </w:pPr>
      <w:r>
        <w:rPr>
          <w:rFonts w:ascii="宋体" w:hAnsi="宋体"/>
          <w:szCs w:val="21"/>
        </w:rPr>
        <w:t>16.</w:t>
      </w:r>
      <w:r>
        <w:rPr>
          <w:rFonts w:hint="eastAsia" w:ascii="宋体" w:hAnsi="宋体"/>
          <w:szCs w:val="21"/>
        </w:rPr>
        <w:t>6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adjustRightInd w:val="0"/>
        <w:snapToGrid w:val="0"/>
        <w:spacing w:line="360" w:lineRule="auto"/>
        <w:ind w:firstLine="420" w:firstLineChars="200"/>
        <w:rPr>
          <w:rFonts w:ascii="宋体" w:hAnsi="宋体"/>
          <w:szCs w:val="21"/>
        </w:rPr>
      </w:pPr>
      <w:r>
        <w:rPr>
          <w:rFonts w:hint="eastAsia" w:ascii="宋体" w:hAnsi="宋体"/>
          <w:szCs w:val="21"/>
        </w:rPr>
        <w:t>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pStyle w:val="5"/>
        <w:tabs>
          <w:tab w:val="left" w:pos="0"/>
        </w:tabs>
        <w:adjustRightInd w:val="0"/>
        <w:snapToGrid w:val="0"/>
        <w:spacing w:before="0" w:after="0"/>
        <w:ind w:firstLine="0" w:firstLineChars="0"/>
        <w:jc w:val="left"/>
        <w:rPr>
          <w:rFonts w:hAnsi="宋体"/>
          <w:sz w:val="24"/>
          <w:szCs w:val="24"/>
        </w:rPr>
      </w:pPr>
      <w:bookmarkStart w:id="349" w:name="_Toc432194846"/>
      <w:bookmarkStart w:id="350" w:name="_Toc1094"/>
      <w:bookmarkStart w:id="351" w:name="_Toc28263"/>
      <w:bookmarkStart w:id="352" w:name="_Toc438396748"/>
      <w:bookmarkStart w:id="353" w:name="_Toc470096325"/>
      <w:bookmarkStart w:id="354" w:name="_Toc383175494"/>
      <w:bookmarkStart w:id="355" w:name="_Toc86124067"/>
      <w:bookmarkStart w:id="356" w:name="_Toc432106495"/>
      <w:bookmarkStart w:id="357" w:name="_Toc34335298"/>
      <w:bookmarkStart w:id="358" w:name="_Toc329810207"/>
      <w:bookmarkStart w:id="359" w:name="_Toc383175296"/>
      <w:bookmarkStart w:id="360" w:name="_Toc383175072"/>
      <w:bookmarkStart w:id="361" w:name="_Toc87622657"/>
      <w:bookmarkStart w:id="362" w:name="_Toc80867922"/>
      <w:r>
        <w:rPr>
          <w:rFonts w:hint="eastAsia" w:hAnsi="宋体"/>
          <w:sz w:val="24"/>
          <w:szCs w:val="24"/>
        </w:rPr>
        <w:t>1</w:t>
      </w:r>
      <w:r>
        <w:rPr>
          <w:rFonts w:hAnsi="宋体"/>
          <w:sz w:val="24"/>
          <w:szCs w:val="24"/>
        </w:rPr>
        <w:t>7.</w:t>
      </w:r>
      <w:r>
        <w:rPr>
          <w:rFonts w:hint="eastAsia" w:hAnsi="宋体"/>
          <w:sz w:val="24"/>
          <w:szCs w:val="24"/>
        </w:rPr>
        <w:t>磋商过程的保密</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pPr>
        <w:adjustRightInd w:val="0"/>
        <w:snapToGrid w:val="0"/>
        <w:spacing w:line="360" w:lineRule="auto"/>
        <w:ind w:firstLine="420" w:firstLineChars="200"/>
        <w:rPr>
          <w:rFonts w:ascii="宋体" w:hAnsi="宋体"/>
          <w:szCs w:val="21"/>
        </w:rPr>
      </w:pPr>
      <w:r>
        <w:rPr>
          <w:rFonts w:hint="eastAsia" w:ascii="宋体" w:hAnsi="宋体"/>
          <w:szCs w:val="21"/>
        </w:rPr>
        <w:t>在磋商中，磋商的任何一方不得透露与磋商有关的其他供应商的技术资料、价格和其他信息。磋商开始后，直到授予供应商合同止，凡是属于审查、澄清、磋商和比较的有关资料以及成交建议等均不向供应商或其他人员透露。</w:t>
      </w:r>
    </w:p>
    <w:p>
      <w:pPr>
        <w:pStyle w:val="5"/>
        <w:tabs>
          <w:tab w:val="left" w:pos="0"/>
        </w:tabs>
        <w:adjustRightInd w:val="0"/>
        <w:snapToGrid w:val="0"/>
        <w:spacing w:before="0" w:after="0"/>
        <w:ind w:firstLine="0" w:firstLineChars="0"/>
        <w:jc w:val="left"/>
        <w:rPr>
          <w:rFonts w:hAnsi="宋体"/>
          <w:sz w:val="24"/>
          <w:szCs w:val="24"/>
        </w:rPr>
      </w:pPr>
      <w:bookmarkStart w:id="363" w:name="_Toc34335299"/>
      <w:bookmarkStart w:id="364" w:name="_Toc80867923"/>
      <w:bookmarkStart w:id="365" w:name="_Toc26236"/>
      <w:bookmarkStart w:id="366" w:name="_Toc87622658"/>
      <w:bookmarkStart w:id="367" w:name="_Toc12204"/>
      <w:bookmarkStart w:id="368" w:name="_Toc86124068"/>
      <w:bookmarkStart w:id="369" w:name="_Toc432106496"/>
      <w:bookmarkStart w:id="370" w:name="_Toc438396749"/>
      <w:bookmarkStart w:id="371" w:name="_Toc383175073"/>
      <w:bookmarkStart w:id="372" w:name="_Toc329810208"/>
      <w:bookmarkStart w:id="373" w:name="_Toc470096326"/>
      <w:bookmarkStart w:id="374" w:name="_Toc378499713"/>
      <w:bookmarkStart w:id="375" w:name="_Toc383175495"/>
      <w:bookmarkStart w:id="376" w:name="_Toc383175297"/>
      <w:bookmarkStart w:id="377" w:name="_Toc432194847"/>
      <w:r>
        <w:rPr>
          <w:rFonts w:hint="eastAsia" w:hAnsi="宋体"/>
          <w:sz w:val="24"/>
          <w:szCs w:val="24"/>
        </w:rPr>
        <w:t>1</w:t>
      </w:r>
      <w:r>
        <w:rPr>
          <w:rFonts w:hAnsi="宋体"/>
          <w:sz w:val="24"/>
          <w:szCs w:val="24"/>
        </w:rPr>
        <w:t>8.</w:t>
      </w:r>
      <w:r>
        <w:rPr>
          <w:rFonts w:hint="eastAsia" w:hAnsi="宋体"/>
          <w:sz w:val="24"/>
          <w:szCs w:val="24"/>
        </w:rPr>
        <w:t>关于重新开展采购活动</w:t>
      </w:r>
      <w:bookmarkEnd w:id="363"/>
      <w:bookmarkEnd w:id="364"/>
      <w:bookmarkEnd w:id="365"/>
      <w:bookmarkEnd w:id="366"/>
      <w:bookmarkEnd w:id="367"/>
    </w:p>
    <w:bookmarkEnd w:id="368"/>
    <w:bookmarkEnd w:id="369"/>
    <w:bookmarkEnd w:id="370"/>
    <w:bookmarkEnd w:id="371"/>
    <w:bookmarkEnd w:id="372"/>
    <w:bookmarkEnd w:id="373"/>
    <w:bookmarkEnd w:id="374"/>
    <w:bookmarkEnd w:id="375"/>
    <w:bookmarkEnd w:id="376"/>
    <w:bookmarkEnd w:id="377"/>
    <w:p>
      <w:pPr>
        <w:adjustRightInd w:val="0"/>
        <w:snapToGrid w:val="0"/>
        <w:spacing w:line="360" w:lineRule="auto"/>
        <w:ind w:firstLine="420" w:firstLineChars="200"/>
        <w:rPr>
          <w:rFonts w:ascii="宋体" w:hAnsi="宋体"/>
          <w:szCs w:val="21"/>
        </w:rPr>
      </w:pPr>
      <w:r>
        <w:rPr>
          <w:rFonts w:hint="eastAsia" w:ascii="宋体" w:hAnsi="宋体"/>
          <w:szCs w:val="21"/>
        </w:rPr>
        <w:t>18.1出现下列情形之一的，将终止竞争性磋商采购活动，并发布项目终止公告并说明原因，重新开展采购活动：</w:t>
      </w:r>
    </w:p>
    <w:p>
      <w:pPr>
        <w:adjustRightInd w:val="0"/>
        <w:snapToGrid w:val="0"/>
        <w:spacing w:line="360" w:lineRule="auto"/>
        <w:ind w:firstLine="420" w:firstLineChars="200"/>
        <w:rPr>
          <w:rFonts w:ascii="宋体" w:hAnsi="宋体"/>
          <w:szCs w:val="21"/>
        </w:rPr>
      </w:pPr>
      <w:r>
        <w:rPr>
          <w:rFonts w:hint="eastAsia" w:ascii="宋体" w:hAnsi="宋体"/>
          <w:szCs w:val="21"/>
        </w:rPr>
        <w:t>（1）因情况变化，不再符合规定的竞争性磋商采购方式适用情形的；</w:t>
      </w:r>
    </w:p>
    <w:p>
      <w:pPr>
        <w:adjustRightInd w:val="0"/>
        <w:snapToGrid w:val="0"/>
        <w:spacing w:line="360" w:lineRule="auto"/>
        <w:ind w:firstLine="420" w:firstLineChars="200"/>
        <w:rPr>
          <w:rFonts w:ascii="宋体" w:hAnsi="宋体"/>
          <w:szCs w:val="21"/>
        </w:rPr>
      </w:pPr>
      <w:r>
        <w:rPr>
          <w:rFonts w:hint="eastAsia" w:ascii="宋体" w:hAnsi="宋体"/>
          <w:szCs w:val="21"/>
        </w:rPr>
        <w:t>（2）出现影响采购公正的违法、违规行为的；</w:t>
      </w:r>
    </w:p>
    <w:p>
      <w:pPr>
        <w:adjustRightInd w:val="0"/>
        <w:snapToGrid w:val="0"/>
        <w:spacing w:line="360" w:lineRule="auto"/>
        <w:ind w:firstLine="420" w:firstLineChars="200"/>
        <w:rPr>
          <w:rFonts w:ascii="宋体" w:hAnsi="宋体"/>
          <w:szCs w:val="21"/>
        </w:rPr>
      </w:pPr>
      <w:r>
        <w:rPr>
          <w:rFonts w:hint="eastAsia" w:ascii="宋体" w:hAnsi="宋体"/>
          <w:szCs w:val="21"/>
        </w:rPr>
        <w:t>（3）在采购过程中符合要求的供应商不足3家的。采用竞争性磋商采购方式采购的政府购买服务项目（含政府和社会资本合作项目），在采购过程中符合要求的供应商（社会资本）只有2家的，竞争性磋商采购活动可以继续进行。采购过程中符合要求的供应商（社会资本）只有1家的，采购人（项目实施机构）或者采购代理机构应当终止竞争性磋商采购活动，发布项目终止公告并说明原因，重新开展采购活动。</w:t>
      </w:r>
    </w:p>
    <w:p>
      <w:pPr>
        <w:adjustRightInd w:val="0"/>
        <w:snapToGrid w:val="0"/>
        <w:spacing w:line="360" w:lineRule="auto"/>
        <w:ind w:firstLine="420" w:firstLineChars="200"/>
        <w:rPr>
          <w:rFonts w:ascii="宋体" w:hAnsi="宋体"/>
          <w:szCs w:val="21"/>
        </w:rPr>
      </w:pPr>
      <w:r>
        <w:rPr>
          <w:rFonts w:hint="eastAsia" w:ascii="宋体" w:hAnsi="宋体"/>
          <w:szCs w:val="21"/>
        </w:rPr>
        <w:t>18.2 磋商小组未按照磋商文件规定的评审标准进行评审的，应当重新开展采购活动。</w:t>
      </w:r>
    </w:p>
    <w:p>
      <w:pPr>
        <w:adjustRightInd w:val="0"/>
        <w:snapToGrid w:val="0"/>
        <w:spacing w:line="360" w:lineRule="auto"/>
        <w:ind w:firstLine="420" w:firstLineChars="200"/>
        <w:rPr>
          <w:rFonts w:ascii="宋体" w:hAnsi="宋体"/>
          <w:szCs w:val="21"/>
        </w:rPr>
      </w:pPr>
      <w:r>
        <w:rPr>
          <w:rFonts w:hint="eastAsia" w:ascii="宋体" w:hAnsi="宋体"/>
          <w:szCs w:val="21"/>
        </w:rPr>
        <w:t>18.3 成交供应商拒绝签订政府采购合同的，可以重新开展采购活动。</w:t>
      </w:r>
    </w:p>
    <w:p>
      <w:pPr>
        <w:pStyle w:val="4"/>
        <w:adjustRightInd w:val="0"/>
        <w:snapToGrid w:val="0"/>
        <w:spacing w:before="0" w:after="0"/>
      </w:pPr>
      <w:bookmarkStart w:id="378" w:name="_Toc15661"/>
      <w:bookmarkStart w:id="379" w:name="_Toc86124069"/>
      <w:bookmarkStart w:id="380" w:name="_Toc7355"/>
      <w:bookmarkStart w:id="381" w:name="_Toc34335300"/>
      <w:bookmarkStart w:id="382" w:name="_Toc30134"/>
      <w:bookmarkStart w:id="383" w:name="_Toc87622659"/>
      <w:bookmarkStart w:id="384" w:name="_Toc470096327"/>
      <w:bookmarkStart w:id="385" w:name="_Toc80867924"/>
      <w:bookmarkStart w:id="386" w:name="_Toc11683"/>
      <w:bookmarkStart w:id="387" w:name="_Toc30367"/>
      <w:r>
        <w:rPr>
          <w:rFonts w:hint="eastAsia"/>
        </w:rPr>
        <w:t>六、成交结果</w:t>
      </w:r>
      <w:bookmarkEnd w:id="378"/>
      <w:bookmarkEnd w:id="379"/>
      <w:bookmarkEnd w:id="380"/>
      <w:bookmarkEnd w:id="381"/>
      <w:bookmarkEnd w:id="382"/>
      <w:bookmarkEnd w:id="383"/>
      <w:bookmarkEnd w:id="384"/>
      <w:bookmarkEnd w:id="385"/>
      <w:bookmarkEnd w:id="386"/>
      <w:bookmarkEnd w:id="387"/>
    </w:p>
    <w:p>
      <w:pPr>
        <w:pStyle w:val="5"/>
        <w:tabs>
          <w:tab w:val="left" w:pos="0"/>
        </w:tabs>
        <w:adjustRightInd w:val="0"/>
        <w:snapToGrid w:val="0"/>
        <w:spacing w:before="0" w:after="0"/>
        <w:ind w:firstLine="0" w:firstLineChars="0"/>
        <w:jc w:val="left"/>
        <w:rPr>
          <w:rFonts w:hAnsi="宋体"/>
          <w:sz w:val="24"/>
          <w:szCs w:val="24"/>
        </w:rPr>
      </w:pPr>
      <w:bookmarkStart w:id="388" w:name="_Toc22439"/>
      <w:bookmarkStart w:id="389" w:name="_Toc87622660"/>
      <w:bookmarkStart w:id="390" w:name="_Toc80867925"/>
      <w:bookmarkStart w:id="391" w:name="_Toc383175299"/>
      <w:bookmarkStart w:id="392" w:name="_Toc432106498"/>
      <w:bookmarkStart w:id="393" w:name="_Toc432194849"/>
      <w:bookmarkStart w:id="394" w:name="_Toc34335301"/>
      <w:bookmarkStart w:id="395" w:name="_Toc470096328"/>
      <w:bookmarkStart w:id="396" w:name="_Toc383175497"/>
      <w:bookmarkStart w:id="397" w:name="_Toc438396751"/>
      <w:bookmarkStart w:id="398" w:name="_Toc86124070"/>
      <w:bookmarkStart w:id="399" w:name="_Toc383175075"/>
      <w:bookmarkStart w:id="400" w:name="_Toc329810210"/>
      <w:bookmarkStart w:id="401" w:name="_Toc68"/>
      <w:r>
        <w:rPr>
          <w:rFonts w:hint="eastAsia" w:hAnsi="宋体"/>
          <w:sz w:val="24"/>
          <w:szCs w:val="24"/>
        </w:rPr>
        <w:t>1</w:t>
      </w:r>
      <w:r>
        <w:rPr>
          <w:rFonts w:hAnsi="宋体"/>
          <w:sz w:val="24"/>
          <w:szCs w:val="24"/>
        </w:rPr>
        <w:t>9.</w:t>
      </w:r>
      <w:r>
        <w:rPr>
          <w:rFonts w:hint="eastAsia" w:hAnsi="宋体"/>
          <w:sz w:val="24"/>
          <w:szCs w:val="24"/>
        </w:rPr>
        <w:t>成交供应商的确定</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adjustRightInd w:val="0"/>
        <w:snapToGrid w:val="0"/>
        <w:spacing w:line="360" w:lineRule="auto"/>
        <w:ind w:firstLine="420" w:firstLineChars="200"/>
        <w:rPr>
          <w:rFonts w:ascii="宋体" w:hAnsi="宋体"/>
          <w:szCs w:val="21"/>
        </w:rPr>
      </w:pPr>
      <w:bookmarkStart w:id="402" w:name="_Toc329810211"/>
      <w:r>
        <w:rPr>
          <w:rFonts w:ascii="宋体" w:hAnsi="宋体"/>
          <w:szCs w:val="21"/>
        </w:rPr>
        <w:t>19.1</w:t>
      </w:r>
      <w:r>
        <w:rPr>
          <w:rFonts w:hint="eastAsia" w:ascii="宋体" w:hAnsi="宋体"/>
          <w:szCs w:val="21"/>
        </w:rPr>
        <w:t>采购代理机构在评审结束后</w:t>
      </w:r>
      <w:r>
        <w:rPr>
          <w:rFonts w:ascii="宋体" w:hAnsi="宋体"/>
          <w:szCs w:val="21"/>
        </w:rPr>
        <w:t>2</w:t>
      </w:r>
      <w:r>
        <w:rPr>
          <w:rFonts w:hint="eastAsia" w:ascii="宋体" w:hAnsi="宋体"/>
          <w:szCs w:val="21"/>
        </w:rPr>
        <w:t>个工作日内将评审报告送采购人确认。</w:t>
      </w:r>
    </w:p>
    <w:p>
      <w:pPr>
        <w:adjustRightInd w:val="0"/>
        <w:snapToGrid w:val="0"/>
        <w:spacing w:line="360" w:lineRule="auto"/>
        <w:ind w:firstLine="420" w:firstLineChars="200"/>
        <w:rPr>
          <w:rFonts w:ascii="宋体" w:hAnsi="宋体"/>
          <w:szCs w:val="21"/>
        </w:rPr>
      </w:pPr>
      <w:r>
        <w:rPr>
          <w:rFonts w:ascii="宋体" w:hAnsi="宋体"/>
          <w:szCs w:val="21"/>
        </w:rPr>
        <w:t>19.2</w:t>
      </w:r>
      <w:r>
        <w:rPr>
          <w:rFonts w:hint="eastAsia" w:ascii="宋体" w:hAnsi="宋体"/>
          <w:szCs w:val="21"/>
        </w:rPr>
        <w:t>采购人应当在收到评审报告后</w:t>
      </w:r>
      <w:r>
        <w:rPr>
          <w:rFonts w:ascii="宋体" w:hAnsi="宋体"/>
          <w:szCs w:val="21"/>
        </w:rPr>
        <w:t>5</w:t>
      </w:r>
      <w:r>
        <w:rPr>
          <w:rFonts w:hint="eastAsia" w:ascii="宋体" w:hAnsi="宋体"/>
          <w:szCs w:val="21"/>
        </w:rPr>
        <w:t>个工作日内，从评审报告提出的成交候选供应商中，按照综合得分由高到低的原则确定成交供应商。</w:t>
      </w:r>
    </w:p>
    <w:p>
      <w:pPr>
        <w:pStyle w:val="5"/>
        <w:tabs>
          <w:tab w:val="left" w:pos="0"/>
        </w:tabs>
        <w:adjustRightInd w:val="0"/>
        <w:snapToGrid w:val="0"/>
        <w:spacing w:before="0" w:after="0"/>
        <w:ind w:firstLine="0" w:firstLineChars="0"/>
        <w:jc w:val="left"/>
        <w:rPr>
          <w:rFonts w:hAnsi="宋体"/>
          <w:sz w:val="24"/>
          <w:szCs w:val="24"/>
        </w:rPr>
      </w:pPr>
      <w:bookmarkStart w:id="403" w:name="_Toc29218"/>
      <w:bookmarkStart w:id="404" w:name="_Toc80867926"/>
      <w:bookmarkStart w:id="405" w:name="_Toc432194850"/>
      <w:bookmarkStart w:id="406" w:name="_Toc383175300"/>
      <w:bookmarkStart w:id="407" w:name="_Toc432106499"/>
      <w:bookmarkStart w:id="408" w:name="_Toc383175498"/>
      <w:bookmarkStart w:id="409" w:name="_Toc470096329"/>
      <w:bookmarkStart w:id="410" w:name="_Toc23047"/>
      <w:bookmarkStart w:id="411" w:name="_Toc438396752"/>
      <w:bookmarkStart w:id="412" w:name="_Toc34335302"/>
      <w:bookmarkStart w:id="413" w:name="_Toc87622661"/>
      <w:bookmarkStart w:id="414" w:name="_Toc383175076"/>
      <w:r>
        <w:rPr>
          <w:rFonts w:hint="eastAsia" w:hAnsi="宋体"/>
          <w:sz w:val="24"/>
          <w:szCs w:val="24"/>
        </w:rPr>
        <w:t>2</w:t>
      </w:r>
      <w:r>
        <w:rPr>
          <w:rFonts w:hAnsi="宋体"/>
          <w:sz w:val="24"/>
          <w:szCs w:val="24"/>
        </w:rPr>
        <w:t>0.</w:t>
      </w:r>
      <w:r>
        <w:rPr>
          <w:rFonts w:hint="eastAsia" w:hAnsi="宋体"/>
          <w:sz w:val="24"/>
          <w:szCs w:val="24"/>
        </w:rPr>
        <w:t>成交通知书</w:t>
      </w:r>
      <w:bookmarkEnd w:id="402"/>
      <w:bookmarkEnd w:id="403"/>
      <w:bookmarkEnd w:id="404"/>
      <w:bookmarkEnd w:id="405"/>
      <w:bookmarkEnd w:id="406"/>
      <w:bookmarkEnd w:id="407"/>
      <w:bookmarkEnd w:id="408"/>
      <w:bookmarkEnd w:id="409"/>
      <w:bookmarkEnd w:id="410"/>
      <w:bookmarkEnd w:id="411"/>
      <w:bookmarkEnd w:id="412"/>
      <w:bookmarkEnd w:id="413"/>
      <w:bookmarkEnd w:id="414"/>
    </w:p>
    <w:p>
      <w:pPr>
        <w:adjustRightInd w:val="0"/>
        <w:snapToGrid w:val="0"/>
        <w:spacing w:line="360" w:lineRule="auto"/>
        <w:ind w:firstLine="420" w:firstLineChars="200"/>
        <w:rPr>
          <w:rFonts w:ascii="宋体" w:hAnsi="宋体"/>
          <w:szCs w:val="21"/>
        </w:rPr>
      </w:pPr>
      <w:bookmarkStart w:id="415" w:name="_Toc86124072"/>
      <w:bookmarkStart w:id="416" w:name="_Toc329810212"/>
      <w:r>
        <w:rPr>
          <w:rFonts w:ascii="宋体" w:hAnsi="宋体"/>
          <w:szCs w:val="21"/>
        </w:rPr>
        <w:t>20.1</w:t>
      </w:r>
      <w:r>
        <w:rPr>
          <w:rFonts w:hint="eastAsia" w:ascii="宋体" w:hAnsi="宋体"/>
          <w:szCs w:val="21"/>
        </w:rPr>
        <w:t>采购代理机构将在成交供应商确定后</w:t>
      </w:r>
      <w:r>
        <w:rPr>
          <w:rFonts w:ascii="宋体" w:hAnsi="宋体"/>
          <w:szCs w:val="21"/>
        </w:rPr>
        <w:t>2</w:t>
      </w:r>
      <w:r>
        <w:rPr>
          <w:rFonts w:hint="eastAsia" w:ascii="宋体" w:hAnsi="宋体"/>
          <w:szCs w:val="21"/>
        </w:rPr>
        <w:t>个工作日内，在磋商文件确定的发布公告媒介上公告</w:t>
      </w:r>
      <w:r>
        <w:rPr>
          <w:rFonts w:ascii="宋体" w:hAnsi="宋体"/>
          <w:szCs w:val="21"/>
        </w:rPr>
        <w:t>,</w:t>
      </w:r>
      <w:r>
        <w:rPr>
          <w:rFonts w:hint="eastAsia" w:ascii="宋体" w:hAnsi="宋体"/>
          <w:szCs w:val="21"/>
        </w:rPr>
        <w:t>同时向成交供应商发出成交通知书。</w:t>
      </w:r>
    </w:p>
    <w:p>
      <w:pPr>
        <w:adjustRightInd w:val="0"/>
        <w:snapToGrid w:val="0"/>
        <w:spacing w:line="360" w:lineRule="auto"/>
        <w:ind w:firstLine="420" w:firstLineChars="200"/>
        <w:rPr>
          <w:rFonts w:ascii="宋体" w:hAnsi="宋体"/>
          <w:szCs w:val="21"/>
        </w:rPr>
      </w:pPr>
      <w:r>
        <w:rPr>
          <w:rFonts w:ascii="宋体" w:hAnsi="宋体"/>
          <w:szCs w:val="21"/>
        </w:rPr>
        <w:t xml:space="preserve">20.2 </w:t>
      </w:r>
      <w:r>
        <w:rPr>
          <w:rFonts w:hint="eastAsia" w:ascii="宋体" w:hAnsi="宋体"/>
          <w:szCs w:val="21"/>
        </w:rPr>
        <w:t>成交通知书是合同的一个组成部分。</w:t>
      </w:r>
    </w:p>
    <w:p>
      <w:pPr>
        <w:adjustRightInd w:val="0"/>
        <w:snapToGrid w:val="0"/>
        <w:spacing w:line="360" w:lineRule="auto"/>
        <w:ind w:firstLine="420" w:firstLineChars="200"/>
        <w:rPr>
          <w:rFonts w:ascii="宋体" w:hAnsi="宋体"/>
          <w:szCs w:val="21"/>
        </w:rPr>
      </w:pPr>
      <w:r>
        <w:rPr>
          <w:rFonts w:ascii="宋体" w:hAnsi="宋体"/>
          <w:szCs w:val="21"/>
        </w:rPr>
        <w:t>20.3</w:t>
      </w:r>
      <w:r>
        <w:rPr>
          <w:rFonts w:hint="eastAsia" w:ascii="宋体" w:hAnsi="宋体"/>
          <w:szCs w:val="21"/>
        </w:rPr>
        <w:t>除不可抗力等因素外，成交通知书发出后，采购人改变成交结果，或者成交供应商拒绝签订政府采购合同的，应当承担相应的法律责任。</w:t>
      </w:r>
    </w:p>
    <w:p>
      <w:pPr>
        <w:adjustRightInd w:val="0"/>
        <w:snapToGrid w:val="0"/>
        <w:spacing w:line="360" w:lineRule="auto"/>
        <w:ind w:firstLine="420" w:firstLineChars="200"/>
        <w:rPr>
          <w:rFonts w:ascii="宋体" w:hAnsi="宋体"/>
          <w:szCs w:val="21"/>
        </w:rPr>
      </w:pPr>
      <w:r>
        <w:rPr>
          <w:rFonts w:ascii="宋体" w:hAnsi="宋体"/>
          <w:szCs w:val="21"/>
        </w:rPr>
        <w:t>20.4</w:t>
      </w:r>
      <w:r>
        <w:rPr>
          <w:rFonts w:hint="eastAsia" w:ascii="宋体" w:hAnsi="宋体"/>
          <w:szCs w:val="21"/>
        </w:rPr>
        <w:t>采购代理机构无义务向未成交供应商解释未成交原因和退回响应文件。</w:t>
      </w:r>
    </w:p>
    <w:p>
      <w:pPr>
        <w:pStyle w:val="5"/>
        <w:tabs>
          <w:tab w:val="left" w:pos="0"/>
        </w:tabs>
        <w:adjustRightInd w:val="0"/>
        <w:snapToGrid w:val="0"/>
        <w:spacing w:before="0" w:after="0"/>
        <w:ind w:firstLine="0" w:firstLineChars="0"/>
        <w:jc w:val="left"/>
        <w:rPr>
          <w:rFonts w:hAnsi="宋体"/>
          <w:sz w:val="24"/>
          <w:szCs w:val="24"/>
        </w:rPr>
      </w:pPr>
      <w:bookmarkStart w:id="417" w:name="_Toc34335303"/>
      <w:bookmarkStart w:id="418" w:name="_Toc383175077"/>
      <w:bookmarkStart w:id="419" w:name="_Toc383175499"/>
      <w:bookmarkStart w:id="420" w:name="_Toc438396753"/>
      <w:bookmarkStart w:id="421" w:name="_Toc21586"/>
      <w:bookmarkStart w:id="422" w:name="_Toc432194851"/>
      <w:bookmarkStart w:id="423" w:name="_Toc87622662"/>
      <w:bookmarkStart w:id="424" w:name="_Toc29203"/>
      <w:bookmarkStart w:id="425" w:name="_Toc80867927"/>
      <w:bookmarkStart w:id="426" w:name="_Toc470096330"/>
      <w:bookmarkStart w:id="427" w:name="_Toc432106500"/>
      <w:bookmarkStart w:id="428" w:name="_Toc383175301"/>
      <w:r>
        <w:rPr>
          <w:rFonts w:hint="eastAsia" w:hAnsi="宋体"/>
          <w:sz w:val="24"/>
          <w:szCs w:val="24"/>
        </w:rPr>
        <w:t>2</w:t>
      </w:r>
      <w:r>
        <w:rPr>
          <w:rFonts w:hAnsi="宋体"/>
          <w:sz w:val="24"/>
          <w:szCs w:val="24"/>
        </w:rPr>
        <w:t>1.</w:t>
      </w:r>
      <w:r>
        <w:rPr>
          <w:rFonts w:hint="eastAsia" w:hAnsi="宋体"/>
          <w:sz w:val="24"/>
          <w:szCs w:val="24"/>
        </w:rPr>
        <w:t>签订合同</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adjustRightInd w:val="0"/>
        <w:snapToGrid w:val="0"/>
        <w:spacing w:line="360" w:lineRule="auto"/>
        <w:ind w:firstLine="420" w:firstLineChars="200"/>
        <w:rPr>
          <w:rFonts w:ascii="宋体" w:hAnsi="宋体"/>
          <w:color w:val="000000"/>
          <w:szCs w:val="21"/>
        </w:rPr>
      </w:pPr>
      <w:bookmarkStart w:id="429" w:name="_Toc86124073"/>
      <w:bookmarkStart w:id="430" w:name="_Toc329810213"/>
      <w:r>
        <w:rPr>
          <w:rFonts w:hint="eastAsia" w:ascii="宋体" w:hAnsi="宋体"/>
          <w:color w:val="000000"/>
          <w:szCs w:val="21"/>
        </w:rPr>
        <w:t>21.1采购人与成交供应商应当在成交通知书发出之日起</w:t>
      </w:r>
      <w:r>
        <w:rPr>
          <w:rFonts w:ascii="宋体" w:hAnsi="宋体"/>
          <w:color w:val="000000"/>
          <w:szCs w:val="21"/>
        </w:rPr>
        <w:t>30</w:t>
      </w:r>
      <w:r>
        <w:rPr>
          <w:rFonts w:hint="eastAsia" w:ascii="宋体" w:hAnsi="宋体"/>
          <w:color w:val="000000"/>
          <w:szCs w:val="21"/>
        </w:rPr>
        <w:t>日内，按照磋商文件确定的合同文本以及采购标的、规格型号、采购金额、采购数量、技术和服务要求等事项签订政府采购合同。</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2采购人不得向成交供应商提出超出磋商文件以外的任何要求作为签订合同的条件，不得与成交供应商订立背离谈判文件确定的合同文本以及采购标的、规格型号、采购金额、采购数量、技术和服务要求等实质性内容的协议。</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.3除采购人与成交供应商在合同中另行商定将成交项目的非主体、非关键性工作分包的，成交供应商在成交后将成交项目分包的，采购人取消其成交资格；给采购人造成损失的，成交供应商还应当予以赔偿。</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4采购合同履行中，采购人需追加与合同标的相同的货物、工程或者服务的，在不改变合同其他条款的前提下，可以与成交供应商协商签订补充合同，但所有补充合同的采购金额不得超过原合同采购金额的百分之十。</w:t>
      </w:r>
    </w:p>
    <w:p>
      <w:pPr>
        <w:adjustRightInd w:val="0"/>
        <w:snapToGrid w:val="0"/>
        <w:spacing w:line="360" w:lineRule="auto"/>
        <w:ind w:firstLine="420" w:firstLineChars="200"/>
        <w:rPr>
          <w:rFonts w:ascii="宋体" w:hAnsi="宋体"/>
          <w:color w:val="000000"/>
          <w:szCs w:val="21"/>
        </w:rPr>
      </w:pPr>
      <w:r>
        <w:rPr>
          <w:rFonts w:hint="eastAsia" w:ascii="宋体" w:hAnsi="宋体"/>
          <w:color w:val="000000"/>
          <w:szCs w:val="21"/>
        </w:rPr>
        <w:t>2</w:t>
      </w:r>
      <w:r>
        <w:rPr>
          <w:rFonts w:ascii="宋体" w:hAnsi="宋体"/>
          <w:color w:val="000000"/>
          <w:szCs w:val="21"/>
        </w:rPr>
        <w:t>1</w:t>
      </w:r>
      <w:r>
        <w:rPr>
          <w:rFonts w:hint="eastAsia" w:ascii="宋体" w:hAnsi="宋体"/>
          <w:color w:val="000000"/>
          <w:szCs w:val="21"/>
        </w:rPr>
        <w:t>.5除不可抗力等因素外，成交通知书发出后，采购人改变成交结果，或者成交供应商拒绝签订采购合同的，应当承担相应的法律责任。</w:t>
      </w:r>
    </w:p>
    <w:p>
      <w:pPr>
        <w:adjustRightInd w:val="0"/>
        <w:snapToGrid w:val="0"/>
        <w:spacing w:line="360" w:lineRule="auto"/>
        <w:ind w:firstLine="420" w:firstLineChars="200"/>
        <w:rPr>
          <w:rFonts w:ascii="宋体" w:hAnsi="宋体"/>
          <w:szCs w:val="21"/>
        </w:rPr>
      </w:pPr>
      <w:r>
        <w:rPr>
          <w:rFonts w:hint="eastAsia" w:ascii="宋体" w:hAnsi="宋体"/>
          <w:color w:val="000000"/>
          <w:szCs w:val="21"/>
        </w:rPr>
        <w:t>21.</w:t>
      </w:r>
      <w:r>
        <w:rPr>
          <w:rFonts w:ascii="宋体" w:hAnsi="宋体"/>
          <w:color w:val="000000"/>
          <w:szCs w:val="21"/>
        </w:rPr>
        <w:t>6</w:t>
      </w:r>
      <w:r>
        <w:rPr>
          <w:rFonts w:hint="eastAsia" w:ascii="宋体" w:hAnsi="宋体"/>
          <w:color w:val="000000"/>
          <w:szCs w:val="21"/>
        </w:rPr>
        <w:t>成交供应商拒绝签订政府采购合同的，采购人可以按照《政府采购竞争性磋商采购方式管理暂行办法》规定的原则确定其他供应商作为成交供应商并签订政府采购合同，也可以重新开展采购活动。拒绝签订政府采购合同的成交供应商不得参加对该项目重新开展的采购活动。</w:t>
      </w:r>
    </w:p>
    <w:p>
      <w:pPr>
        <w:pStyle w:val="5"/>
        <w:tabs>
          <w:tab w:val="left" w:pos="0"/>
        </w:tabs>
        <w:adjustRightInd w:val="0"/>
        <w:snapToGrid w:val="0"/>
        <w:spacing w:before="0" w:after="0"/>
        <w:ind w:firstLine="0" w:firstLineChars="0"/>
        <w:jc w:val="left"/>
        <w:rPr>
          <w:rFonts w:hAnsi="宋体"/>
          <w:sz w:val="24"/>
          <w:szCs w:val="24"/>
        </w:rPr>
      </w:pPr>
      <w:bookmarkStart w:id="431" w:name="_Toc23968"/>
      <w:bookmarkStart w:id="432" w:name="_Toc80867928"/>
      <w:bookmarkStart w:id="433" w:name="_Toc26446"/>
      <w:bookmarkStart w:id="434" w:name="_Toc34335304"/>
      <w:bookmarkStart w:id="435" w:name="_Toc87622663"/>
      <w:r>
        <w:rPr>
          <w:rFonts w:hint="eastAsia" w:hAnsi="宋体"/>
          <w:sz w:val="24"/>
          <w:szCs w:val="24"/>
        </w:rPr>
        <w:t>2</w:t>
      </w:r>
      <w:r>
        <w:rPr>
          <w:rFonts w:hAnsi="宋体"/>
          <w:sz w:val="24"/>
          <w:szCs w:val="24"/>
        </w:rPr>
        <w:t>2.履约保证金</w:t>
      </w:r>
      <w:bookmarkEnd w:id="431"/>
      <w:bookmarkEnd w:id="432"/>
      <w:bookmarkEnd w:id="433"/>
      <w:bookmarkEnd w:id="434"/>
      <w:bookmarkEnd w:id="435"/>
    </w:p>
    <w:p>
      <w:pPr>
        <w:adjustRightInd w:val="0"/>
        <w:snapToGrid w:val="0"/>
        <w:spacing w:line="360" w:lineRule="auto"/>
        <w:ind w:firstLine="420" w:firstLineChars="200"/>
        <w:rPr>
          <w:rFonts w:ascii="宋体" w:hAnsi="宋体"/>
          <w:szCs w:val="21"/>
        </w:rPr>
      </w:pPr>
      <w:r>
        <w:rPr>
          <w:rFonts w:hint="eastAsia" w:ascii="宋体" w:hAnsi="宋体"/>
          <w:szCs w:val="21"/>
        </w:rPr>
        <w:t>22.1在签订政府采购合同前，成交供应商应向采购人提交履约保证金，履约保证金递交的金额及形式详见《供应商须知前附表》。</w:t>
      </w:r>
    </w:p>
    <w:p>
      <w:pPr>
        <w:adjustRightInd w:val="0"/>
        <w:snapToGrid w:val="0"/>
        <w:spacing w:line="360" w:lineRule="auto"/>
        <w:ind w:firstLine="420" w:firstLineChars="200"/>
        <w:rPr>
          <w:rFonts w:ascii="宋体" w:hAnsi="宋体"/>
          <w:szCs w:val="21"/>
        </w:rPr>
      </w:pPr>
      <w:r>
        <w:rPr>
          <w:rFonts w:hint="eastAsia" w:ascii="宋体" w:hAnsi="宋体"/>
          <w:szCs w:val="21"/>
        </w:rPr>
        <w:t>22.2 签订合同后，除因不可抗力或磋商文件认可的情形以外，成交供应商不与采购人履行合同的，视为自动放弃，采购人将没收其全部履约保证金，履约保证金不足以赔偿损失的，按实际损失赔偿。</w:t>
      </w:r>
    </w:p>
    <w:bookmarkEnd w:id="429"/>
    <w:bookmarkEnd w:id="430"/>
    <w:p>
      <w:pPr>
        <w:pStyle w:val="4"/>
        <w:adjustRightInd w:val="0"/>
        <w:snapToGrid w:val="0"/>
        <w:spacing w:before="0" w:after="0"/>
      </w:pPr>
      <w:bookmarkStart w:id="436" w:name="_Toc86124074"/>
      <w:bookmarkStart w:id="437" w:name="_Toc21720"/>
      <w:bookmarkStart w:id="438" w:name="_Toc22113"/>
      <w:bookmarkStart w:id="439" w:name="_Toc20943"/>
      <w:bookmarkStart w:id="440" w:name="_Toc2746"/>
      <w:bookmarkStart w:id="441" w:name="_Toc9831"/>
      <w:bookmarkStart w:id="442" w:name="_Toc470096331"/>
      <w:bookmarkStart w:id="443" w:name="_Toc34335305"/>
      <w:bookmarkStart w:id="444" w:name="_Toc87622664"/>
      <w:bookmarkStart w:id="445" w:name="_Toc80867929"/>
      <w:r>
        <w:rPr>
          <w:rFonts w:hint="eastAsia"/>
        </w:rPr>
        <w:t>七、其他事项</w:t>
      </w:r>
      <w:bookmarkEnd w:id="436"/>
      <w:bookmarkEnd w:id="437"/>
      <w:bookmarkEnd w:id="438"/>
      <w:bookmarkEnd w:id="439"/>
      <w:bookmarkEnd w:id="440"/>
      <w:bookmarkEnd w:id="441"/>
      <w:bookmarkEnd w:id="442"/>
      <w:bookmarkEnd w:id="443"/>
      <w:bookmarkEnd w:id="444"/>
      <w:bookmarkEnd w:id="445"/>
    </w:p>
    <w:p>
      <w:pPr>
        <w:pStyle w:val="5"/>
        <w:tabs>
          <w:tab w:val="left" w:pos="0"/>
        </w:tabs>
        <w:adjustRightInd w:val="0"/>
        <w:snapToGrid w:val="0"/>
        <w:spacing w:before="0" w:after="0"/>
        <w:ind w:firstLine="0" w:firstLineChars="0"/>
        <w:jc w:val="left"/>
        <w:rPr>
          <w:rFonts w:hAnsi="宋体"/>
          <w:sz w:val="24"/>
          <w:szCs w:val="24"/>
        </w:rPr>
      </w:pPr>
      <w:bookmarkStart w:id="446" w:name="_Toc383175304"/>
      <w:bookmarkStart w:id="447" w:name="_Toc87622665"/>
      <w:bookmarkStart w:id="448" w:name="_Toc383175080"/>
      <w:bookmarkStart w:id="449" w:name="_Toc438396755"/>
      <w:bookmarkStart w:id="450" w:name="_Toc432194853"/>
      <w:bookmarkStart w:id="451" w:name="_Toc34335306"/>
      <w:bookmarkStart w:id="452" w:name="_Toc329810215"/>
      <w:bookmarkStart w:id="453" w:name="_Toc432106502"/>
      <w:bookmarkStart w:id="454" w:name="_Toc21251"/>
      <w:bookmarkStart w:id="455" w:name="_Toc383175502"/>
      <w:bookmarkStart w:id="456" w:name="_Toc470096332"/>
      <w:bookmarkStart w:id="457" w:name="_Toc709"/>
      <w:bookmarkStart w:id="458" w:name="_Toc80867930"/>
      <w:r>
        <w:rPr>
          <w:rFonts w:hint="eastAsia" w:hAnsi="宋体"/>
          <w:sz w:val="24"/>
          <w:szCs w:val="24"/>
        </w:rPr>
        <w:t>2</w:t>
      </w:r>
      <w:r>
        <w:rPr>
          <w:rFonts w:hAnsi="宋体"/>
          <w:sz w:val="24"/>
          <w:szCs w:val="24"/>
        </w:rPr>
        <w:t>3.</w:t>
      </w:r>
      <w:r>
        <w:rPr>
          <w:rFonts w:hint="eastAsia" w:hAnsi="宋体"/>
          <w:sz w:val="24"/>
          <w:szCs w:val="24"/>
        </w:rPr>
        <w:t>质疑和投诉</w:t>
      </w:r>
      <w:bookmarkEnd w:id="446"/>
      <w:bookmarkEnd w:id="447"/>
      <w:bookmarkEnd w:id="448"/>
      <w:bookmarkEnd w:id="449"/>
      <w:bookmarkEnd w:id="450"/>
      <w:bookmarkEnd w:id="451"/>
      <w:bookmarkEnd w:id="452"/>
      <w:bookmarkEnd w:id="453"/>
      <w:bookmarkEnd w:id="454"/>
      <w:bookmarkEnd w:id="455"/>
      <w:bookmarkEnd w:id="456"/>
      <w:bookmarkEnd w:id="457"/>
      <w:bookmarkEnd w:id="458"/>
    </w:p>
    <w:p>
      <w:pPr>
        <w:adjustRightInd w:val="0"/>
        <w:snapToGrid w:val="0"/>
        <w:spacing w:line="360" w:lineRule="auto"/>
        <w:ind w:firstLine="420" w:firstLineChars="200"/>
        <w:rPr>
          <w:rFonts w:ascii="宋体" w:hAnsi="宋体"/>
          <w:szCs w:val="21"/>
        </w:rPr>
      </w:pPr>
      <w:bookmarkStart w:id="459" w:name="_Hlk511996301"/>
      <w:r>
        <w:rPr>
          <w:rFonts w:hint="eastAsia" w:ascii="宋体" w:hAnsi="宋体"/>
          <w:szCs w:val="21"/>
        </w:rPr>
        <w:t>2</w:t>
      </w:r>
      <w:r>
        <w:rPr>
          <w:rFonts w:ascii="宋体" w:hAnsi="宋体"/>
          <w:szCs w:val="21"/>
        </w:rPr>
        <w:t>3</w:t>
      </w:r>
      <w:r>
        <w:rPr>
          <w:rFonts w:hint="eastAsia" w:ascii="宋体" w:hAnsi="宋体"/>
          <w:szCs w:val="21"/>
        </w:rPr>
        <w:t>.1质疑</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szCs w:val="21"/>
        </w:rPr>
        <w:t>2</w:t>
      </w:r>
      <w:r>
        <w:rPr>
          <w:rFonts w:ascii="宋体" w:hAnsi="宋体"/>
          <w:szCs w:val="21"/>
        </w:rPr>
        <w:t>3</w:t>
      </w:r>
      <w:r>
        <w:rPr>
          <w:rFonts w:hint="eastAsia" w:ascii="宋体" w:hAnsi="宋体"/>
          <w:szCs w:val="21"/>
        </w:rPr>
        <w:t>.1.1</w:t>
      </w:r>
      <w:r>
        <w:rPr>
          <w:rFonts w:hint="eastAsia" w:ascii="宋体" w:hAnsi="宋体" w:cs="宋体"/>
          <w:snapToGrid w:val="0"/>
          <w:kern w:val="21"/>
          <w:szCs w:val="21"/>
        </w:rPr>
        <w:t>供应商认为竞争性磋商文件、采购过程、中标或者成交结果使自己的权益受到损害的，可以在知道或者应知其权益受到损害之日起7个工作日内，以书面形式向采购人、采购代理机构提出质疑。供应商应在法定质疑期内一次性提出针对同一采购程序环节的质疑，否则采购人、采购代理机构有权拒收。</w:t>
      </w:r>
    </w:p>
    <w:p>
      <w:pPr>
        <w:adjustRightInd w:val="0"/>
        <w:snapToGrid w:val="0"/>
        <w:spacing w:line="360" w:lineRule="auto"/>
        <w:ind w:firstLine="420" w:firstLineChars="200"/>
        <w:rPr>
          <w:rFonts w:ascii="宋体" w:hAnsi="宋体" w:cs="宋体"/>
          <w:snapToGrid w:val="0"/>
          <w:kern w:val="21"/>
          <w:szCs w:val="21"/>
        </w:rPr>
      </w:pPr>
      <w:r>
        <w:rPr>
          <w:rFonts w:ascii="宋体" w:hAnsi="宋体" w:cs="宋体"/>
          <w:snapToGrid w:val="0"/>
          <w:kern w:val="21"/>
          <w:szCs w:val="21"/>
        </w:rPr>
        <w:t>23.1.2</w:t>
      </w:r>
      <w:r>
        <w:rPr>
          <w:rFonts w:hint="eastAsia" w:ascii="宋体" w:hAnsi="宋体" w:cs="宋体"/>
          <w:snapToGrid w:val="0"/>
          <w:kern w:val="21"/>
          <w:szCs w:val="21"/>
        </w:rPr>
        <w:t>竞争性磋商文件第二章《供应商须知》</w:t>
      </w:r>
      <w:r>
        <w:rPr>
          <w:rFonts w:ascii="宋体" w:hAnsi="宋体" w:cs="宋体"/>
          <w:snapToGrid w:val="0"/>
          <w:kern w:val="21"/>
          <w:szCs w:val="21"/>
        </w:rPr>
        <w:t>23.1</w:t>
      </w:r>
      <w:r>
        <w:rPr>
          <w:rFonts w:hint="eastAsia" w:ascii="宋体" w:hAnsi="宋体" w:cs="宋体"/>
          <w:snapToGrid w:val="0"/>
          <w:kern w:val="21"/>
          <w:szCs w:val="21"/>
        </w:rPr>
        <w:t>.1条中“知道或者应知其权益受到损害之日”是指：</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cs="宋体"/>
          <w:snapToGrid w:val="0"/>
          <w:kern w:val="21"/>
          <w:szCs w:val="21"/>
        </w:rPr>
        <w:t>（1）对可以质疑的采购文件提出质疑的，为收到采购文件之日或者采购文件公告期限届满之日；</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cs="宋体"/>
          <w:snapToGrid w:val="0"/>
          <w:kern w:val="21"/>
          <w:szCs w:val="21"/>
        </w:rPr>
        <w:t>（2）对采购过程提出质疑的，为各采购程序环节结束之日；</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cs="宋体"/>
          <w:snapToGrid w:val="0"/>
          <w:kern w:val="21"/>
          <w:szCs w:val="21"/>
        </w:rPr>
        <w:t>（3）对中标或者成交结果提出质疑的，为中标或者成交结果公告期限届满之日。</w:t>
      </w:r>
    </w:p>
    <w:p>
      <w:pPr>
        <w:adjustRightInd w:val="0"/>
        <w:snapToGrid w:val="0"/>
        <w:spacing w:line="360" w:lineRule="auto"/>
        <w:ind w:firstLine="420" w:firstLineChars="200"/>
        <w:rPr>
          <w:rFonts w:ascii="宋体" w:hAnsi="宋体" w:cs="宋体"/>
          <w:snapToGrid w:val="0"/>
          <w:kern w:val="21"/>
          <w:szCs w:val="21"/>
        </w:rPr>
      </w:pPr>
      <w:r>
        <w:rPr>
          <w:rFonts w:ascii="宋体" w:hAnsi="宋体" w:cs="宋体"/>
          <w:snapToGrid w:val="0"/>
          <w:kern w:val="21"/>
          <w:szCs w:val="21"/>
        </w:rPr>
        <w:t>23.1.3</w:t>
      </w:r>
      <w:r>
        <w:rPr>
          <w:rFonts w:hint="eastAsia" w:ascii="宋体" w:hAnsi="宋体" w:cs="宋体"/>
          <w:snapToGrid w:val="0"/>
          <w:kern w:val="21"/>
          <w:szCs w:val="21"/>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供应商签署的授权委托书。提出质疑的供应商应当是参与所质疑项目采购活动的供应商。</w:t>
      </w:r>
    </w:p>
    <w:p>
      <w:pPr>
        <w:adjustRightInd w:val="0"/>
        <w:snapToGrid w:val="0"/>
        <w:spacing w:line="360" w:lineRule="auto"/>
        <w:ind w:firstLine="420" w:firstLineChars="200"/>
        <w:rPr>
          <w:rFonts w:ascii="宋体" w:hAnsi="宋体" w:cs="宋体"/>
          <w:snapToGrid w:val="0"/>
          <w:kern w:val="21"/>
          <w:szCs w:val="21"/>
        </w:rPr>
      </w:pPr>
      <w:r>
        <w:rPr>
          <w:rFonts w:ascii="宋体" w:hAnsi="宋体" w:cs="宋体"/>
          <w:snapToGrid w:val="0"/>
          <w:kern w:val="21"/>
          <w:szCs w:val="21"/>
        </w:rPr>
        <w:t>23.1.4</w:t>
      </w:r>
      <w:r>
        <w:rPr>
          <w:rFonts w:hint="eastAsia" w:ascii="宋体" w:hAnsi="宋体" w:cs="宋体"/>
          <w:snapToGrid w:val="0"/>
          <w:kern w:val="21"/>
          <w:szCs w:val="21"/>
        </w:rPr>
        <w:t>供应商提出质疑应符合《政府采购质疑和投诉办法》（中华人民共和国财政部令第94号）和财政部《政府采购供应商质疑函范本》的规定。供应商提出质疑应当提交质疑函和必要的证明材料。质疑函应当包括下列内容：</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cs="宋体"/>
          <w:snapToGrid w:val="0"/>
          <w:kern w:val="21"/>
          <w:szCs w:val="21"/>
        </w:rPr>
        <w:t>（1）供应商的姓名或者名称、地址、邮编、联系人及联系电话；</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cs="宋体"/>
          <w:snapToGrid w:val="0"/>
          <w:kern w:val="21"/>
          <w:szCs w:val="21"/>
        </w:rPr>
        <w:t>（2）质疑项目的名称、编号；</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cs="宋体"/>
          <w:snapToGrid w:val="0"/>
          <w:kern w:val="21"/>
          <w:szCs w:val="21"/>
        </w:rPr>
        <w:t>（3）具体、明确的质疑事项和与质疑事项相关的请求；</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cs="宋体"/>
          <w:snapToGrid w:val="0"/>
          <w:kern w:val="21"/>
          <w:szCs w:val="21"/>
        </w:rPr>
        <w:t>（4）事实依据；</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cs="宋体"/>
          <w:snapToGrid w:val="0"/>
          <w:kern w:val="21"/>
          <w:szCs w:val="21"/>
        </w:rPr>
        <w:t>（5）必要的法律依据；</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cs="宋体"/>
          <w:snapToGrid w:val="0"/>
          <w:kern w:val="21"/>
          <w:szCs w:val="21"/>
        </w:rPr>
        <w:t>（6）提出质疑的日期。</w:t>
      </w:r>
    </w:p>
    <w:p>
      <w:pPr>
        <w:adjustRightInd w:val="0"/>
        <w:snapToGrid w:val="0"/>
        <w:spacing w:line="360" w:lineRule="auto"/>
        <w:ind w:firstLine="420" w:firstLineChars="200"/>
        <w:rPr>
          <w:rFonts w:ascii="宋体" w:hAnsi="宋体" w:cs="宋体"/>
          <w:snapToGrid w:val="0"/>
          <w:kern w:val="21"/>
          <w:szCs w:val="21"/>
        </w:rPr>
      </w:pPr>
      <w:r>
        <w:rPr>
          <w:rFonts w:hint="eastAsia" w:ascii="宋体" w:hAnsi="宋体" w:cs="宋体"/>
          <w:snapToGrid w:val="0"/>
          <w:kern w:val="21"/>
          <w:szCs w:val="21"/>
        </w:rPr>
        <w:t>供应商为自然人的，应当由本人签字；供应商为法人或者其他组织的，应当由法定代表人、主要负责人，或者其授权代表签字或者盖章，并加盖公章。</w:t>
      </w:r>
    </w:p>
    <w:p>
      <w:pPr>
        <w:adjustRightInd w:val="0"/>
        <w:snapToGrid w:val="0"/>
        <w:spacing w:line="360" w:lineRule="auto"/>
        <w:ind w:firstLine="420" w:firstLineChars="200"/>
        <w:rPr>
          <w:rFonts w:ascii="宋体" w:hAnsi="宋体" w:cs="宋体"/>
          <w:snapToGrid w:val="0"/>
          <w:kern w:val="21"/>
          <w:szCs w:val="21"/>
        </w:rPr>
      </w:pPr>
      <w:r>
        <w:rPr>
          <w:rFonts w:ascii="宋体" w:hAnsi="宋体" w:cs="宋体"/>
          <w:snapToGrid w:val="0"/>
          <w:kern w:val="21"/>
          <w:szCs w:val="21"/>
        </w:rPr>
        <w:t>23.1</w:t>
      </w:r>
      <w:r>
        <w:rPr>
          <w:rFonts w:hint="eastAsia" w:ascii="宋体" w:hAnsi="宋体" w:cs="宋体"/>
          <w:snapToGrid w:val="0"/>
          <w:kern w:val="21"/>
          <w:szCs w:val="21"/>
        </w:rPr>
        <w:t>.5供应商不得捏造事实、提供虚假材料或者以非法手段取得证明材料。</w:t>
      </w:r>
    </w:p>
    <w:p>
      <w:pPr>
        <w:adjustRightInd w:val="0"/>
        <w:snapToGrid w:val="0"/>
        <w:spacing w:line="360" w:lineRule="auto"/>
        <w:ind w:firstLine="420" w:firstLineChars="200"/>
        <w:rPr>
          <w:rFonts w:ascii="宋体" w:hAnsi="宋体" w:cs="宋体"/>
          <w:snapToGrid w:val="0"/>
          <w:kern w:val="21"/>
          <w:szCs w:val="21"/>
        </w:rPr>
      </w:pPr>
      <w:r>
        <w:rPr>
          <w:rFonts w:ascii="宋体" w:hAnsi="宋体" w:cs="宋体"/>
          <w:snapToGrid w:val="0"/>
          <w:kern w:val="21"/>
          <w:szCs w:val="21"/>
        </w:rPr>
        <w:t>23.1</w:t>
      </w:r>
      <w:r>
        <w:rPr>
          <w:rFonts w:hint="eastAsia" w:ascii="宋体" w:hAnsi="宋体" w:cs="宋体"/>
          <w:snapToGrid w:val="0"/>
          <w:kern w:val="21"/>
          <w:szCs w:val="21"/>
        </w:rPr>
        <w:t>.6质疑函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adjustRightInd w:val="0"/>
        <w:snapToGrid w:val="0"/>
        <w:spacing w:line="360" w:lineRule="auto"/>
        <w:ind w:firstLine="420" w:firstLineChars="200"/>
        <w:rPr>
          <w:rFonts w:ascii="宋体" w:hAnsi="宋体" w:cs="宋体"/>
          <w:snapToGrid w:val="0"/>
          <w:kern w:val="21"/>
          <w:szCs w:val="21"/>
        </w:rPr>
      </w:pPr>
      <w:r>
        <w:rPr>
          <w:rFonts w:ascii="宋体" w:hAnsi="宋体" w:cs="宋体"/>
          <w:snapToGrid w:val="0"/>
          <w:kern w:val="21"/>
          <w:szCs w:val="21"/>
        </w:rPr>
        <w:t>23.1</w:t>
      </w:r>
      <w:r>
        <w:rPr>
          <w:rFonts w:hint="eastAsia" w:ascii="宋体" w:hAnsi="宋体" w:cs="宋体"/>
          <w:snapToGrid w:val="0"/>
          <w:kern w:val="21"/>
          <w:szCs w:val="21"/>
        </w:rPr>
        <w:t>.7采购人、采购代理机构将在收到供应商质疑函后七个工作日内作出答复，但质疑答复的内容不涉及商业秘密。</w:t>
      </w:r>
    </w:p>
    <w:p>
      <w:pPr>
        <w:adjustRightInd w:val="0"/>
        <w:snapToGrid w:val="0"/>
        <w:spacing w:line="360" w:lineRule="auto"/>
        <w:ind w:firstLine="420" w:firstLineChars="200"/>
        <w:rPr>
          <w:rFonts w:ascii="宋体" w:hAnsi="宋体"/>
          <w:szCs w:val="21"/>
        </w:rPr>
      </w:pPr>
      <w:r>
        <w:rPr>
          <w:rFonts w:ascii="宋体" w:hAnsi="宋体" w:cs="宋体"/>
          <w:snapToGrid w:val="0"/>
          <w:kern w:val="21"/>
          <w:szCs w:val="21"/>
        </w:rPr>
        <w:t>23.1</w:t>
      </w:r>
      <w:r>
        <w:rPr>
          <w:rFonts w:hint="eastAsia" w:ascii="宋体" w:hAnsi="宋体" w:cs="宋体"/>
          <w:snapToGrid w:val="0"/>
          <w:kern w:val="21"/>
          <w:szCs w:val="21"/>
        </w:rPr>
        <w:t>.8供应商对评审过程、成交结果提出质疑的，采购人、采购代理机构可以组织原磋商小组协助答复质疑。质疑答复导致成交结果改变的，采购人或者采购代理机构会将有关情况书面报告</w:t>
      </w:r>
      <w:r>
        <w:rPr>
          <w:rFonts w:hint="eastAsia" w:ascii="宋体" w:hAnsi="宋体"/>
          <w:szCs w:val="21"/>
        </w:rPr>
        <w:t>同级财政主管部门</w:t>
      </w:r>
      <w:r>
        <w:rPr>
          <w:rFonts w:hint="eastAsia" w:ascii="宋体" w:hAnsi="宋体" w:cs="宋体"/>
          <w:snapToGrid w:val="0"/>
          <w:kern w:val="21"/>
          <w:szCs w:val="21"/>
        </w:rPr>
        <w:t>。</w:t>
      </w:r>
    </w:p>
    <w:p>
      <w:pPr>
        <w:adjustRightInd w:val="0"/>
        <w:snapToGrid w:val="0"/>
        <w:spacing w:line="360" w:lineRule="auto"/>
        <w:ind w:firstLine="420" w:firstLineChars="200"/>
        <w:rPr>
          <w:rFonts w:ascii="宋体" w:hAnsi="宋体"/>
          <w:szCs w:val="21"/>
        </w:rPr>
      </w:pPr>
      <w:r>
        <w:rPr>
          <w:rFonts w:hint="eastAsia" w:ascii="宋体" w:hAnsi="宋体"/>
        </w:rPr>
        <w:t>2</w:t>
      </w:r>
      <w:r>
        <w:rPr>
          <w:rFonts w:ascii="宋体" w:hAnsi="宋体"/>
        </w:rPr>
        <w:t>3.1.9</w:t>
      </w:r>
      <w:r>
        <w:rPr>
          <w:rFonts w:hint="eastAsia" w:ascii="宋体" w:hAnsi="宋体"/>
        </w:rPr>
        <w:t>接收质疑函的方式：书面方式；接收质疑函的部门、联系、联系电话、通讯地址，见</w:t>
      </w:r>
      <w:r>
        <w:rPr>
          <w:rFonts w:ascii="宋体" w:hAnsi="宋体"/>
          <w:szCs w:val="21"/>
        </w:rPr>
        <w:t>“</w:t>
      </w:r>
      <w:r>
        <w:rPr>
          <w:rFonts w:hint="eastAsia" w:ascii="宋体" w:hAnsi="宋体"/>
          <w:b/>
          <w:bCs/>
          <w:szCs w:val="21"/>
        </w:rPr>
        <w:t>供应商须知前附表</w:t>
      </w:r>
      <w:r>
        <w:rPr>
          <w:rFonts w:ascii="宋体" w:hAnsi="宋体"/>
          <w:szCs w:val="21"/>
        </w:rPr>
        <w:t>”</w:t>
      </w:r>
      <w:r>
        <w:rPr>
          <w:rFonts w:hint="eastAsia" w:ascii="宋体" w:hAnsi="宋体"/>
          <w:szCs w:val="21"/>
        </w:rPr>
        <w:t>。</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3</w:t>
      </w:r>
      <w:r>
        <w:rPr>
          <w:rFonts w:hint="eastAsia" w:ascii="宋体" w:hAnsi="宋体"/>
          <w:szCs w:val="21"/>
        </w:rPr>
        <w:t>.2投诉</w:t>
      </w:r>
    </w:p>
    <w:p>
      <w:pPr>
        <w:adjustRightInd w:val="0"/>
        <w:snapToGrid w:val="0"/>
        <w:spacing w:line="360" w:lineRule="auto"/>
        <w:ind w:firstLine="420" w:firstLineChars="200"/>
        <w:rPr>
          <w:rFonts w:ascii="宋体" w:hAnsi="宋体"/>
          <w:szCs w:val="21"/>
        </w:rPr>
      </w:pPr>
      <w:r>
        <w:rPr>
          <w:rFonts w:hint="eastAsia" w:ascii="宋体" w:hAnsi="宋体"/>
          <w:szCs w:val="21"/>
        </w:rPr>
        <w:t>当事人提出的投诉事项必须首先经过质疑程序。质疑人对采购人、采购代理机构的答复不满意，或者采购人、采购代理机构未在规定的时间内做出答复的，可以在答复期满后十五个工作日内书面向同级财政部门提出投诉。</w:t>
      </w:r>
    </w:p>
    <w:bookmarkEnd w:id="459"/>
    <w:p>
      <w:pPr>
        <w:pStyle w:val="5"/>
        <w:tabs>
          <w:tab w:val="left" w:pos="0"/>
        </w:tabs>
        <w:adjustRightInd w:val="0"/>
        <w:snapToGrid w:val="0"/>
        <w:spacing w:before="0" w:after="0"/>
        <w:ind w:firstLine="0" w:firstLineChars="0"/>
        <w:jc w:val="left"/>
        <w:rPr>
          <w:rFonts w:hAnsi="宋体"/>
          <w:sz w:val="24"/>
          <w:szCs w:val="24"/>
        </w:rPr>
      </w:pPr>
      <w:bookmarkStart w:id="460" w:name="_Toc329810216"/>
      <w:bookmarkStart w:id="461" w:name="_Toc432106503"/>
      <w:bookmarkStart w:id="462" w:name="_Toc34335307"/>
      <w:bookmarkStart w:id="463" w:name="_Toc432194854"/>
      <w:bookmarkStart w:id="464" w:name="_Toc80867931"/>
      <w:bookmarkStart w:id="465" w:name="_Toc470096333"/>
      <w:bookmarkStart w:id="466" w:name="_Toc87622666"/>
      <w:bookmarkStart w:id="467" w:name="_Toc383175503"/>
      <w:bookmarkStart w:id="468" w:name="_Toc383175305"/>
      <w:bookmarkStart w:id="469" w:name="_Toc438396756"/>
      <w:bookmarkStart w:id="470" w:name="_Toc383175081"/>
      <w:bookmarkStart w:id="471" w:name="_Toc86124075"/>
      <w:bookmarkStart w:id="472" w:name="_Toc15025"/>
      <w:bookmarkStart w:id="473" w:name="_Toc31169"/>
      <w:r>
        <w:rPr>
          <w:rFonts w:hint="eastAsia" w:hAnsi="宋体"/>
          <w:sz w:val="24"/>
          <w:szCs w:val="24"/>
        </w:rPr>
        <w:t>2</w:t>
      </w:r>
      <w:r>
        <w:rPr>
          <w:rFonts w:hAnsi="宋体"/>
          <w:sz w:val="24"/>
          <w:szCs w:val="24"/>
        </w:rPr>
        <w:t>4.</w:t>
      </w:r>
      <w:r>
        <w:rPr>
          <w:rFonts w:hint="eastAsia" w:hAnsi="宋体"/>
          <w:sz w:val="24"/>
          <w:szCs w:val="24"/>
        </w:rPr>
        <w:t>采购代理服务费</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p>
    <w:p>
      <w:pPr>
        <w:pStyle w:val="20"/>
        <w:snapToGrid w:val="0"/>
        <w:spacing w:line="360" w:lineRule="auto"/>
        <w:ind w:firstLine="424" w:firstLineChars="202"/>
        <w:jc w:val="both"/>
        <w:rPr>
          <w:rFonts w:hAnsi="宋体"/>
        </w:rPr>
      </w:pPr>
      <w:r>
        <w:rPr>
          <w:rFonts w:hint="eastAsia" w:hAnsi="宋体"/>
        </w:rPr>
        <w:t>2</w:t>
      </w:r>
      <w:r>
        <w:rPr>
          <w:rFonts w:hAnsi="宋体"/>
        </w:rPr>
        <w:t>4</w:t>
      </w:r>
      <w:r>
        <w:rPr>
          <w:rFonts w:hint="eastAsia" w:hAnsi="宋体"/>
        </w:rPr>
        <w:t>.1</w:t>
      </w:r>
      <w:r>
        <w:rPr>
          <w:rFonts w:hAnsi="宋体"/>
        </w:rPr>
        <w:t>本项目</w:t>
      </w:r>
      <w:r>
        <w:rPr>
          <w:rFonts w:hint="eastAsia" w:hAnsi="宋体"/>
        </w:rPr>
        <w:t>采购代理服务费</w:t>
      </w:r>
      <w:r>
        <w:rPr>
          <w:rFonts w:hAnsi="宋体"/>
        </w:rPr>
        <w:t>收费标准</w:t>
      </w:r>
      <w:r>
        <w:rPr>
          <w:rFonts w:hint="eastAsia" w:hAnsi="宋体"/>
        </w:rPr>
        <w:t>：见</w:t>
      </w:r>
      <w:r>
        <w:rPr>
          <w:rFonts w:hAnsi="宋体"/>
        </w:rPr>
        <w:t>“</w:t>
      </w:r>
      <w:r>
        <w:rPr>
          <w:rFonts w:hint="eastAsia" w:hAnsi="宋体"/>
          <w:b/>
        </w:rPr>
        <w:t>供应商须知前附表</w:t>
      </w:r>
      <w:r>
        <w:rPr>
          <w:rFonts w:hAnsi="宋体"/>
        </w:rPr>
        <w:t>”</w:t>
      </w:r>
      <w:r>
        <w:rPr>
          <w:rFonts w:hint="eastAsia" w:hAnsi="宋体"/>
        </w:rPr>
        <w:t>。</w:t>
      </w:r>
    </w:p>
    <w:p>
      <w:pPr>
        <w:adjustRightInd w:val="0"/>
        <w:snapToGrid w:val="0"/>
        <w:spacing w:line="360" w:lineRule="auto"/>
        <w:ind w:firstLine="420" w:firstLineChars="200"/>
        <w:rPr>
          <w:rFonts w:ascii="宋体" w:hAnsi="宋体"/>
          <w:szCs w:val="21"/>
        </w:rPr>
      </w:pPr>
      <w:r>
        <w:rPr>
          <w:rFonts w:hint="eastAsia" w:ascii="宋体" w:hAnsi="宋体"/>
          <w:szCs w:val="21"/>
        </w:rPr>
        <w:t>2</w:t>
      </w:r>
      <w:r>
        <w:rPr>
          <w:rFonts w:ascii="宋体" w:hAnsi="宋体"/>
          <w:szCs w:val="21"/>
        </w:rPr>
        <w:t>4</w:t>
      </w:r>
      <w:r>
        <w:rPr>
          <w:rFonts w:hint="eastAsia" w:ascii="宋体" w:hAnsi="宋体"/>
          <w:szCs w:val="21"/>
        </w:rPr>
        <w:t>.2成交供应商应在接受“成交通知书”前向采购代理机构一次付清代理服务费。</w:t>
      </w:r>
    </w:p>
    <w:p>
      <w:pPr>
        <w:pStyle w:val="5"/>
        <w:tabs>
          <w:tab w:val="left" w:pos="0"/>
        </w:tabs>
        <w:adjustRightInd w:val="0"/>
        <w:snapToGrid w:val="0"/>
        <w:spacing w:before="0" w:after="0"/>
        <w:ind w:firstLine="0" w:firstLineChars="0"/>
        <w:jc w:val="left"/>
        <w:rPr>
          <w:rFonts w:hAnsi="宋体"/>
          <w:sz w:val="24"/>
          <w:szCs w:val="24"/>
        </w:rPr>
      </w:pPr>
      <w:bookmarkStart w:id="474" w:name="_Toc6277"/>
      <w:bookmarkStart w:id="475" w:name="_Toc383175082"/>
      <w:bookmarkStart w:id="476" w:name="_Toc80867932"/>
      <w:bookmarkStart w:id="477" w:name="_Toc383175306"/>
      <w:bookmarkStart w:id="478" w:name="_Toc470096334"/>
      <w:bookmarkStart w:id="479" w:name="_Toc383175504"/>
      <w:bookmarkStart w:id="480" w:name="_Toc329810217"/>
      <w:bookmarkStart w:id="481" w:name="_Toc87622667"/>
      <w:bookmarkStart w:id="482" w:name="_Toc261"/>
      <w:bookmarkStart w:id="483" w:name="_Toc438396757"/>
      <w:bookmarkStart w:id="484" w:name="_Toc432194855"/>
      <w:bookmarkStart w:id="485" w:name="_Toc432106504"/>
      <w:bookmarkStart w:id="486" w:name="_Toc34335308"/>
      <w:r>
        <w:rPr>
          <w:rFonts w:hint="eastAsia" w:hAnsi="宋体"/>
          <w:sz w:val="24"/>
          <w:szCs w:val="24"/>
        </w:rPr>
        <w:t>2</w:t>
      </w:r>
      <w:r>
        <w:rPr>
          <w:rFonts w:hAnsi="宋体"/>
          <w:sz w:val="24"/>
          <w:szCs w:val="24"/>
        </w:rPr>
        <w:t>5.</w:t>
      </w:r>
      <w:r>
        <w:rPr>
          <w:rFonts w:hint="eastAsia" w:hAnsi="宋体"/>
          <w:sz w:val="24"/>
          <w:szCs w:val="24"/>
        </w:rPr>
        <w:t>磋商文件编制依据</w:t>
      </w:r>
      <w:bookmarkEnd w:id="474"/>
      <w:bookmarkEnd w:id="475"/>
      <w:bookmarkEnd w:id="476"/>
      <w:bookmarkEnd w:id="477"/>
      <w:bookmarkEnd w:id="478"/>
      <w:bookmarkEnd w:id="479"/>
      <w:bookmarkEnd w:id="480"/>
      <w:bookmarkEnd w:id="481"/>
      <w:bookmarkEnd w:id="482"/>
      <w:bookmarkEnd w:id="483"/>
      <w:bookmarkEnd w:id="484"/>
      <w:bookmarkEnd w:id="485"/>
      <w:bookmarkEnd w:id="486"/>
    </w:p>
    <w:p>
      <w:pPr>
        <w:adjustRightInd w:val="0"/>
        <w:snapToGrid w:val="0"/>
        <w:spacing w:line="360" w:lineRule="auto"/>
        <w:ind w:firstLine="420" w:firstLineChars="200"/>
        <w:rPr>
          <w:rFonts w:ascii="宋体" w:hAnsi="宋体"/>
          <w:szCs w:val="21"/>
        </w:rPr>
      </w:pPr>
      <w:r>
        <w:rPr>
          <w:rFonts w:hint="eastAsia" w:ascii="宋体" w:hAnsi="宋体"/>
          <w:szCs w:val="21"/>
        </w:rPr>
        <w:t>本磋商文件是根据《中华人民共和国政府采购法》</w:t>
      </w:r>
      <w:r>
        <w:rPr>
          <w:rFonts w:hint="eastAsia" w:ascii="宋体" w:hAnsi="宋体" w:cs="宋体"/>
          <w:szCs w:val="21"/>
        </w:rPr>
        <w:t>、</w:t>
      </w:r>
      <w:r>
        <w:rPr>
          <w:rFonts w:hint="eastAsia" w:ascii="宋体" w:hAnsi="宋体"/>
          <w:szCs w:val="21"/>
        </w:rPr>
        <w:t>《中华人民共和国政府采购法实施条例》、</w:t>
      </w:r>
      <w:r>
        <w:rPr>
          <w:rFonts w:hint="eastAsia" w:ascii="宋体" w:hAnsi="宋体" w:cs="宋体"/>
          <w:szCs w:val="21"/>
        </w:rPr>
        <w:t>《政府采购竞争性磋商采购方式管理暂行办法》等有关法律、法规和规章进行</w:t>
      </w:r>
      <w:r>
        <w:rPr>
          <w:rFonts w:hint="eastAsia" w:ascii="宋体" w:hAnsi="宋体"/>
          <w:szCs w:val="21"/>
        </w:rPr>
        <w:t>编制，解释权属于采购人、采购代理机构。</w:t>
      </w:r>
    </w:p>
    <w:p>
      <w:pPr>
        <w:pStyle w:val="5"/>
        <w:tabs>
          <w:tab w:val="left" w:pos="0"/>
        </w:tabs>
        <w:adjustRightInd w:val="0"/>
        <w:snapToGrid w:val="0"/>
        <w:spacing w:before="0" w:after="0"/>
        <w:ind w:firstLine="0" w:firstLineChars="0"/>
        <w:jc w:val="left"/>
        <w:rPr>
          <w:rFonts w:hAnsi="宋体"/>
          <w:sz w:val="24"/>
          <w:szCs w:val="24"/>
        </w:rPr>
      </w:pPr>
      <w:bookmarkStart w:id="487" w:name="_Toc80867933"/>
      <w:bookmarkStart w:id="488" w:name="_Toc34335309"/>
      <w:bookmarkStart w:id="489" w:name="_Toc86124077"/>
      <w:bookmarkStart w:id="490" w:name="_Toc383175083"/>
      <w:bookmarkStart w:id="491" w:name="_Toc20018"/>
      <w:bookmarkStart w:id="492" w:name="_Toc329810218"/>
      <w:bookmarkStart w:id="493" w:name="_Toc470096335"/>
      <w:bookmarkStart w:id="494" w:name="_Toc438396758"/>
      <w:bookmarkStart w:id="495" w:name="_Toc87622668"/>
      <w:bookmarkStart w:id="496" w:name="_Toc432194856"/>
      <w:bookmarkStart w:id="497" w:name="_Toc17517"/>
      <w:bookmarkStart w:id="498" w:name="_Toc432106505"/>
      <w:bookmarkStart w:id="499" w:name="_Toc383175505"/>
      <w:bookmarkStart w:id="500" w:name="_Toc383175307"/>
      <w:r>
        <w:rPr>
          <w:rFonts w:hint="eastAsia" w:hAnsi="宋体"/>
          <w:sz w:val="24"/>
          <w:szCs w:val="24"/>
        </w:rPr>
        <w:t>2</w:t>
      </w:r>
      <w:r>
        <w:rPr>
          <w:rFonts w:hAnsi="宋体"/>
          <w:sz w:val="24"/>
          <w:szCs w:val="24"/>
        </w:rPr>
        <w:t>6.</w:t>
      </w:r>
      <w:r>
        <w:rPr>
          <w:rFonts w:hint="eastAsia" w:hAnsi="宋体"/>
          <w:sz w:val="24"/>
          <w:szCs w:val="24"/>
        </w:rPr>
        <w:t>需要补充的其他内容</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adjustRightInd w:val="0"/>
        <w:snapToGrid w:val="0"/>
        <w:spacing w:line="360" w:lineRule="auto"/>
        <w:ind w:firstLine="420" w:firstLineChars="200"/>
        <w:rPr>
          <w:rFonts w:ascii="宋体" w:hAnsi="宋体" w:cs="宋体"/>
          <w:color w:val="000000"/>
          <w:szCs w:val="21"/>
        </w:rPr>
      </w:pPr>
      <w:r>
        <w:rPr>
          <w:rFonts w:ascii="宋体" w:hAnsi="宋体"/>
          <w:szCs w:val="21"/>
        </w:rPr>
        <w:t>26.1</w:t>
      </w:r>
      <w:r>
        <w:rPr>
          <w:rFonts w:hint="eastAsia" w:ascii="宋体" w:hAnsi="宋体"/>
          <w:szCs w:val="21"/>
        </w:rPr>
        <w:t>需要补充的其他内容：见</w:t>
      </w:r>
      <w:r>
        <w:rPr>
          <w:rFonts w:ascii="宋体" w:hAnsi="宋体"/>
          <w:szCs w:val="21"/>
        </w:rPr>
        <w:t>“</w:t>
      </w:r>
      <w:r>
        <w:rPr>
          <w:rFonts w:hint="eastAsia" w:ascii="宋体" w:hAnsi="宋体"/>
          <w:b/>
          <w:szCs w:val="21"/>
        </w:rPr>
        <w:t>供应商须知前附表</w:t>
      </w:r>
      <w:r>
        <w:rPr>
          <w:rFonts w:ascii="宋体" w:hAnsi="宋体"/>
          <w:szCs w:val="21"/>
        </w:rPr>
        <w:t>”</w:t>
      </w:r>
      <w:r>
        <w:rPr>
          <w:rFonts w:hint="eastAsia" w:ascii="宋体" w:hAnsi="宋体"/>
          <w:szCs w:val="21"/>
        </w:rPr>
        <w:t>。</w:t>
      </w:r>
    </w:p>
    <w:p>
      <w:pPr>
        <w:tabs>
          <w:tab w:val="right" w:leader="dot" w:pos="9070"/>
          <w:tab w:val="right" w:leader="dot" w:pos="9498"/>
        </w:tabs>
        <w:adjustRightInd w:val="0"/>
        <w:snapToGrid w:val="0"/>
        <w:spacing w:line="360" w:lineRule="auto"/>
        <w:jc w:val="center"/>
        <w:outlineLvl w:val="0"/>
        <w:rPr>
          <w:rStyle w:val="50"/>
        </w:rPr>
      </w:pPr>
      <w:bookmarkStart w:id="501" w:name="_Toc86124078"/>
      <w:r>
        <w:rPr>
          <w:rFonts w:hint="eastAsia" w:ascii="宋体" w:hAnsi="宋体" w:cs="宋体"/>
          <w:sz w:val="32"/>
          <w:szCs w:val="32"/>
        </w:rPr>
        <w:br w:type="page"/>
      </w:r>
      <w:bookmarkStart w:id="502" w:name="_Toc19581"/>
      <w:bookmarkStart w:id="503" w:name="_Toc19340"/>
      <w:bookmarkStart w:id="504" w:name="_Toc34335327"/>
      <w:bookmarkStart w:id="505" w:name="_Toc25654"/>
      <w:bookmarkStart w:id="506" w:name="_Toc16583"/>
      <w:bookmarkStart w:id="507" w:name="_Toc24539"/>
      <w:bookmarkStart w:id="508" w:name="_Toc432106528"/>
      <w:bookmarkStart w:id="509" w:name="_Toc34335310"/>
      <w:bookmarkStart w:id="510" w:name="_Toc430041035"/>
      <w:bookmarkStart w:id="511" w:name="_Toc438396778"/>
      <w:bookmarkStart w:id="512" w:name="_Toc470096336"/>
      <w:r>
        <w:rPr>
          <w:rStyle w:val="50"/>
          <w:rFonts w:hint="eastAsia"/>
        </w:rPr>
        <w:t>第三章  合同书样式及主要条款</w:t>
      </w:r>
      <w:bookmarkEnd w:id="502"/>
      <w:bookmarkEnd w:id="503"/>
      <w:bookmarkEnd w:id="504"/>
      <w:bookmarkEnd w:id="505"/>
      <w:bookmarkEnd w:id="506"/>
      <w:bookmarkEnd w:id="507"/>
    </w:p>
    <w:p>
      <w:pPr>
        <w:adjustRightInd w:val="0"/>
        <w:snapToGrid w:val="0"/>
        <w:spacing w:line="360" w:lineRule="auto"/>
        <w:rPr>
          <w:rFonts w:ascii="宋体" w:hAnsi="宋体"/>
          <w:szCs w:val="21"/>
        </w:rPr>
      </w:pPr>
      <w:r>
        <w:rPr>
          <w:rFonts w:ascii="宋体" w:hAnsi="宋体"/>
          <w:szCs w:val="21"/>
        </w:rPr>
        <w:t>合同编号：</w:t>
      </w:r>
      <w:r>
        <w:rPr>
          <w:rFonts w:ascii="宋体" w:hAnsi="宋体"/>
          <w:szCs w:val="21"/>
        </w:rPr>
        <w:tab/>
      </w:r>
      <w:r>
        <w:rPr>
          <w:rFonts w:hint="eastAsia" w:ascii="宋体" w:hAnsi="宋体"/>
          <w:szCs w:val="21"/>
        </w:rPr>
        <w:t xml:space="preserve">                        </w:t>
      </w:r>
      <w:r>
        <w:rPr>
          <w:rFonts w:ascii="宋体" w:hAnsi="宋体"/>
          <w:szCs w:val="21"/>
        </w:rPr>
        <w:t>合同自编号：</w:t>
      </w:r>
      <w:r>
        <w:rPr>
          <w:rFonts w:ascii="宋体" w:hAnsi="宋体"/>
          <w:szCs w:val="21"/>
        </w:rPr>
        <w:tab/>
      </w:r>
      <w:r>
        <w:rPr>
          <w:rFonts w:hint="eastAsia" w:ascii="宋体" w:hAnsi="宋体"/>
          <w:szCs w:val="21"/>
        </w:rPr>
        <w:t xml:space="preserve">                       项目</w:t>
      </w:r>
      <w:r>
        <w:rPr>
          <w:rFonts w:ascii="宋体" w:hAnsi="宋体"/>
          <w:szCs w:val="21"/>
        </w:rPr>
        <w:t>编号：</w:t>
      </w:r>
    </w:p>
    <w:p>
      <w:pPr>
        <w:pStyle w:val="2"/>
        <w:adjustRightInd w:val="0"/>
        <w:snapToGrid w:val="0"/>
        <w:spacing w:after="0" w:line="360" w:lineRule="auto"/>
        <w:jc w:val="center"/>
        <w:rPr>
          <w:rFonts w:ascii="宋体" w:hAnsi="宋体"/>
          <w:sz w:val="21"/>
          <w:szCs w:val="21"/>
        </w:rPr>
      </w:pPr>
    </w:p>
    <w:p>
      <w:pPr>
        <w:widowControl/>
        <w:tabs>
          <w:tab w:val="left" w:pos="1155"/>
          <w:tab w:val="left" w:pos="2865"/>
          <w:tab w:val="left" w:pos="5307"/>
          <w:tab w:val="left" w:pos="5595"/>
          <w:tab w:val="left" w:pos="6620"/>
          <w:tab w:val="left" w:pos="7940"/>
        </w:tabs>
        <w:adjustRightInd w:val="0"/>
        <w:snapToGrid w:val="0"/>
        <w:spacing w:line="360" w:lineRule="auto"/>
        <w:rPr>
          <w:rFonts w:ascii="宋体" w:hAnsi="宋体" w:cs="Arial"/>
          <w:szCs w:val="21"/>
        </w:rPr>
      </w:pPr>
      <w:r>
        <w:rPr>
          <w:rFonts w:hint="eastAsia" w:ascii="宋体" w:hAnsi="宋体" w:cs="Arial"/>
          <w:szCs w:val="21"/>
        </w:rPr>
        <w:t>●</w:t>
      </w:r>
      <w:r>
        <w:rPr>
          <w:rFonts w:ascii="宋体" w:hAnsi="宋体" w:cs="Arial"/>
          <w:szCs w:val="21"/>
        </w:rPr>
        <w:t>本合同须加盖甲乙双方骑缝章有效</w:t>
      </w:r>
    </w:p>
    <w:p>
      <w:pPr>
        <w:pStyle w:val="2"/>
        <w:adjustRightInd w:val="0"/>
        <w:snapToGrid w:val="0"/>
        <w:spacing w:after="0" w:line="360" w:lineRule="auto"/>
        <w:jc w:val="center"/>
        <w:rPr>
          <w:rFonts w:ascii="宋体" w:hAnsi="宋体"/>
          <w:sz w:val="21"/>
          <w:szCs w:val="21"/>
        </w:rPr>
      </w:pPr>
    </w:p>
    <w:p>
      <w:pPr>
        <w:adjustRightInd w:val="0"/>
        <w:snapToGrid w:val="0"/>
        <w:spacing w:line="360" w:lineRule="auto"/>
        <w:jc w:val="center"/>
        <w:rPr>
          <w:rFonts w:ascii="宋体" w:hAnsi="宋体"/>
          <w:szCs w:val="21"/>
        </w:rPr>
      </w:pPr>
      <w:r>
        <w:rPr>
          <w:rFonts w:ascii="宋体" w:hAnsi="宋体"/>
          <w:szCs w:val="21"/>
        </w:rPr>
        <w:t>云南省省级政府采购</w:t>
      </w:r>
    </w:p>
    <w:p>
      <w:pPr>
        <w:adjustRightInd w:val="0"/>
        <w:snapToGrid w:val="0"/>
        <w:spacing w:line="360" w:lineRule="auto"/>
        <w:jc w:val="center"/>
        <w:rPr>
          <w:rFonts w:ascii="宋体" w:hAnsi="宋体"/>
          <w:szCs w:val="21"/>
        </w:rPr>
      </w:pPr>
      <w:r>
        <w:rPr>
          <w:rFonts w:ascii="宋体" w:hAnsi="宋体"/>
          <w:szCs w:val="21"/>
        </w:rPr>
        <w:t>（委托采购）</w:t>
      </w:r>
    </w:p>
    <w:p>
      <w:pPr>
        <w:adjustRightInd w:val="0"/>
        <w:snapToGrid w:val="0"/>
        <w:spacing w:line="360" w:lineRule="auto"/>
        <w:jc w:val="center"/>
        <w:rPr>
          <w:rFonts w:ascii="宋体" w:hAnsi="宋体"/>
          <w:szCs w:val="21"/>
        </w:rPr>
      </w:pPr>
      <w:r>
        <w:rPr>
          <w:rFonts w:ascii="宋体" w:hAnsi="宋体"/>
          <w:szCs w:val="21"/>
        </w:rPr>
        <w:t>（此合同模板为参考，具体合同内容以双方约定为准）</w:t>
      </w:r>
    </w:p>
    <w:p>
      <w:pPr>
        <w:adjustRightInd w:val="0"/>
        <w:snapToGrid w:val="0"/>
        <w:spacing w:line="360" w:lineRule="auto"/>
      </w:pPr>
    </w:p>
    <w:p>
      <w:pPr>
        <w:widowControl/>
        <w:adjustRightInd w:val="0"/>
        <w:snapToGrid w:val="0"/>
        <w:spacing w:line="360" w:lineRule="auto"/>
        <w:jc w:val="center"/>
        <w:outlineLvl w:val="1"/>
        <w:rPr>
          <w:rFonts w:ascii="宋体" w:hAnsi="宋体"/>
          <w:b/>
          <w:bCs/>
          <w:sz w:val="80"/>
          <w:szCs w:val="80"/>
        </w:rPr>
      </w:pPr>
      <w:bookmarkStart w:id="513" w:name="_Toc5185"/>
      <w:bookmarkStart w:id="514" w:name="_Toc24927"/>
      <w:bookmarkStart w:id="515" w:name="_Toc19210"/>
      <w:r>
        <w:rPr>
          <w:rFonts w:hint="eastAsia" w:ascii="宋体" w:hAnsi="宋体"/>
          <w:b/>
          <w:bCs/>
          <w:sz w:val="80"/>
          <w:szCs w:val="80"/>
        </w:rPr>
        <w:t>合</w:t>
      </w:r>
      <w:bookmarkEnd w:id="513"/>
      <w:bookmarkEnd w:id="514"/>
      <w:bookmarkEnd w:id="515"/>
    </w:p>
    <w:p>
      <w:pPr>
        <w:widowControl/>
        <w:adjustRightInd w:val="0"/>
        <w:snapToGrid w:val="0"/>
        <w:spacing w:line="360" w:lineRule="auto"/>
        <w:jc w:val="center"/>
        <w:rPr>
          <w:rFonts w:ascii="宋体" w:hAnsi="宋体"/>
          <w:b/>
          <w:bCs/>
          <w:sz w:val="80"/>
          <w:szCs w:val="80"/>
        </w:rPr>
      </w:pPr>
    </w:p>
    <w:p>
      <w:pPr>
        <w:widowControl/>
        <w:adjustRightInd w:val="0"/>
        <w:snapToGrid w:val="0"/>
        <w:spacing w:line="360" w:lineRule="auto"/>
        <w:jc w:val="center"/>
        <w:rPr>
          <w:rFonts w:ascii="宋体" w:hAnsi="宋体"/>
          <w:b/>
          <w:bCs/>
          <w:sz w:val="80"/>
          <w:szCs w:val="80"/>
        </w:rPr>
      </w:pPr>
      <w:r>
        <w:rPr>
          <w:rFonts w:hint="eastAsia" w:ascii="宋体" w:hAnsi="宋体"/>
          <w:b/>
          <w:bCs/>
          <w:sz w:val="80"/>
          <w:szCs w:val="80"/>
        </w:rPr>
        <w:t>同</w:t>
      </w:r>
    </w:p>
    <w:p>
      <w:pPr>
        <w:widowControl/>
        <w:adjustRightInd w:val="0"/>
        <w:snapToGrid w:val="0"/>
        <w:spacing w:line="360" w:lineRule="auto"/>
        <w:jc w:val="center"/>
        <w:rPr>
          <w:rFonts w:ascii="宋体" w:hAnsi="宋体"/>
          <w:b/>
          <w:bCs/>
          <w:sz w:val="80"/>
          <w:szCs w:val="80"/>
        </w:rPr>
      </w:pPr>
    </w:p>
    <w:p>
      <w:pPr>
        <w:widowControl/>
        <w:adjustRightInd w:val="0"/>
        <w:snapToGrid w:val="0"/>
        <w:spacing w:line="360" w:lineRule="auto"/>
        <w:jc w:val="center"/>
        <w:rPr>
          <w:rFonts w:ascii="宋体" w:hAnsi="宋体"/>
          <w:b/>
          <w:bCs/>
          <w:sz w:val="80"/>
          <w:szCs w:val="80"/>
        </w:rPr>
      </w:pPr>
      <w:r>
        <w:rPr>
          <w:rFonts w:hint="eastAsia" w:ascii="宋体" w:hAnsi="宋体"/>
          <w:b/>
          <w:bCs/>
          <w:sz w:val="80"/>
          <w:szCs w:val="80"/>
        </w:rPr>
        <w:t>书</w:t>
      </w:r>
    </w:p>
    <w:p>
      <w:pPr>
        <w:widowControl/>
        <w:adjustRightInd w:val="0"/>
        <w:snapToGrid w:val="0"/>
        <w:spacing w:line="360" w:lineRule="auto"/>
        <w:jc w:val="center"/>
        <w:rPr>
          <w:rFonts w:ascii="宋体" w:hAnsi="宋体"/>
          <w:b/>
          <w:bCs/>
          <w:szCs w:val="21"/>
        </w:rPr>
      </w:pPr>
      <w:r>
        <w:rPr>
          <w:rFonts w:hint="eastAsia" w:ascii="宋体" w:hAnsi="宋体"/>
          <w:b/>
          <w:bCs/>
          <w:szCs w:val="21"/>
        </w:rPr>
        <w:t>签订地点</w:t>
      </w:r>
      <w:r>
        <w:rPr>
          <w:rFonts w:ascii="宋体" w:hAnsi="宋体"/>
          <w:b/>
          <w:bCs/>
          <w:szCs w:val="21"/>
        </w:rPr>
        <w:t>:</w:t>
      </w:r>
    </w:p>
    <w:p>
      <w:pPr>
        <w:widowControl/>
        <w:adjustRightInd w:val="0"/>
        <w:snapToGrid w:val="0"/>
        <w:spacing w:line="360" w:lineRule="auto"/>
        <w:ind w:firstLine="3373" w:firstLineChars="1600"/>
        <w:rPr>
          <w:rFonts w:ascii="宋体" w:hAnsi="宋体" w:cs="宋体"/>
          <w:szCs w:val="21"/>
        </w:rPr>
      </w:pPr>
      <w:r>
        <w:rPr>
          <w:rFonts w:hint="eastAsia" w:ascii="宋体" w:hAnsi="宋体"/>
          <w:b/>
          <w:bCs/>
          <w:szCs w:val="21"/>
        </w:rPr>
        <w:t xml:space="preserve">云南省财政厅 </w:t>
      </w:r>
      <w:r>
        <w:rPr>
          <w:rFonts w:ascii="宋体" w:hAnsi="宋体"/>
          <w:b/>
          <w:bCs/>
          <w:szCs w:val="21"/>
        </w:rPr>
        <w:t xml:space="preserve"> </w:t>
      </w:r>
      <w:r>
        <w:rPr>
          <w:rFonts w:hint="eastAsia" w:ascii="宋体" w:hAnsi="宋体"/>
          <w:b/>
          <w:bCs/>
          <w:szCs w:val="21"/>
        </w:rPr>
        <w:t>制</w:t>
      </w:r>
      <w:bookmarkStart w:id="516" w:name="_Toc131557651"/>
      <w:bookmarkStart w:id="517" w:name="_Toc531875293"/>
      <w:r>
        <w:rPr>
          <w:rFonts w:hint="eastAsia" w:ascii="宋体" w:hAnsi="宋体" w:cs="宋体"/>
          <w:szCs w:val="21"/>
        </w:rPr>
        <w:br w:type="page"/>
      </w:r>
      <w:r>
        <w:rPr>
          <w:rFonts w:hint="eastAsia" w:ascii="宋体" w:hAnsi="宋体" w:cs="宋体"/>
          <w:szCs w:val="21"/>
        </w:rPr>
        <w:t>甲方（采购人公章）名 称：</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地 址：</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邮 编：</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法定代表人或委托代理人：</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项目（技术）负责人：</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电 话：</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签订日期：</w:t>
      </w:r>
    </w:p>
    <w:p>
      <w:pPr>
        <w:adjustRightInd w:val="0"/>
        <w:snapToGrid w:val="0"/>
        <w:spacing w:line="360" w:lineRule="auto"/>
        <w:jc w:val="left"/>
        <w:rPr>
          <w:rFonts w:ascii="宋体" w:hAnsi="宋体" w:cs="宋体"/>
          <w:szCs w:val="21"/>
        </w:rPr>
      </w:pPr>
    </w:p>
    <w:p>
      <w:pPr>
        <w:adjustRightInd w:val="0"/>
        <w:snapToGrid w:val="0"/>
        <w:spacing w:line="360" w:lineRule="auto"/>
        <w:jc w:val="left"/>
        <w:rPr>
          <w:rFonts w:ascii="宋体" w:hAnsi="宋体" w:cs="宋体"/>
          <w:szCs w:val="21"/>
        </w:rPr>
      </w:pPr>
      <w:r>
        <w:rPr>
          <w:rFonts w:hint="eastAsia" w:ascii="宋体" w:hAnsi="宋体" w:cs="宋体"/>
          <w:szCs w:val="21"/>
        </w:rPr>
        <w:t>乙方（供应商公章）名 称：</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地 址：</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邮 编：</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法定代表人或委托代理人：</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经办人：</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电 话：</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签订日期：</w:t>
      </w:r>
    </w:p>
    <w:p>
      <w:pPr>
        <w:adjustRightInd w:val="0"/>
        <w:snapToGrid w:val="0"/>
        <w:spacing w:line="360" w:lineRule="auto"/>
        <w:jc w:val="left"/>
        <w:rPr>
          <w:rFonts w:ascii="宋体" w:hAnsi="宋体" w:cs="宋体"/>
          <w:szCs w:val="21"/>
        </w:rPr>
      </w:pPr>
    </w:p>
    <w:p>
      <w:pPr>
        <w:adjustRightInd w:val="0"/>
        <w:snapToGrid w:val="0"/>
        <w:spacing w:line="360" w:lineRule="auto"/>
        <w:jc w:val="left"/>
        <w:rPr>
          <w:rFonts w:ascii="宋体" w:hAnsi="宋体" w:cs="宋体"/>
          <w:szCs w:val="21"/>
        </w:rPr>
      </w:pPr>
      <w:r>
        <w:rPr>
          <w:rFonts w:hint="eastAsia" w:ascii="宋体" w:hAnsi="宋体" w:cs="宋体"/>
          <w:szCs w:val="21"/>
        </w:rPr>
        <w:t>丙方（鉴证方公章）名 称：云南中云招标咨询有限公司</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地 址：</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邮 编：</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法定代表人或委托代理人：</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经办人：</w:t>
      </w:r>
    </w:p>
    <w:p>
      <w:pPr>
        <w:adjustRightInd w:val="0"/>
        <w:snapToGrid w:val="0"/>
        <w:spacing w:line="360" w:lineRule="auto"/>
        <w:jc w:val="left"/>
        <w:rPr>
          <w:rFonts w:ascii="宋体" w:hAnsi="宋体" w:cs="宋体"/>
          <w:szCs w:val="21"/>
        </w:rPr>
      </w:pPr>
      <w:r>
        <w:rPr>
          <w:rFonts w:hint="eastAsia" w:ascii="宋体" w:hAnsi="宋体" w:cs="宋体"/>
          <w:szCs w:val="21"/>
        </w:rPr>
        <w:tab/>
      </w:r>
      <w:r>
        <w:rPr>
          <w:rFonts w:hint="eastAsia" w:ascii="宋体" w:hAnsi="宋体" w:cs="宋体"/>
          <w:szCs w:val="21"/>
        </w:rPr>
        <w:t xml:space="preserve">             电 话：</w:t>
      </w:r>
    </w:p>
    <w:p>
      <w:pPr>
        <w:adjustRightInd w:val="0"/>
        <w:snapToGrid w:val="0"/>
        <w:spacing w:line="360" w:lineRule="auto"/>
        <w:ind w:firstLine="420" w:firstLineChars="200"/>
        <w:rPr>
          <w:rFonts w:ascii="宋体" w:hAnsi="宋体" w:cs="宋体"/>
          <w:szCs w:val="21"/>
        </w:rPr>
      </w:pPr>
      <w:r>
        <w:rPr>
          <w:rFonts w:hint="eastAsia" w:ascii="仿宋" w:hAnsi="仿宋" w:eastAsia="仿宋" w:cs="仿宋"/>
        </w:rPr>
        <w:br w:type="page"/>
      </w:r>
      <w:bookmarkEnd w:id="516"/>
      <w:bookmarkEnd w:id="517"/>
      <w:bookmarkStart w:id="518" w:name="_Toc131557663"/>
      <w:r>
        <w:rPr>
          <w:rFonts w:hint="eastAsia" w:ascii="宋体" w:hAnsi="宋体" w:cs="宋体"/>
          <w:szCs w:val="21"/>
        </w:rPr>
        <w:t>根据《中华人民共和国政府采购法》、《中华人民共和国民法典》等有关法律法规规定，</w:t>
      </w:r>
      <w:r>
        <w:rPr>
          <w:rFonts w:hint="eastAsia" w:ascii="宋体" w:hAnsi="宋体" w:cs="宋体"/>
          <w:szCs w:val="21"/>
          <w:u w:val="single"/>
        </w:rPr>
        <w:t>云南省生态环境监测中心</w:t>
      </w:r>
      <w:r>
        <w:rPr>
          <w:rFonts w:hint="eastAsia" w:ascii="宋体" w:hAnsi="宋体" w:cs="宋体"/>
          <w:szCs w:val="21"/>
        </w:rPr>
        <w:t xml:space="preserve"> (采购人名称)(以下简称：“甲方”)通过</w:t>
      </w:r>
      <w:r>
        <w:rPr>
          <w:rFonts w:hint="eastAsia" w:ascii="宋体" w:hAnsi="宋体" w:cs="宋体"/>
          <w:szCs w:val="21"/>
          <w:u w:val="single"/>
        </w:rPr>
        <w:t>竞争性磋商</w:t>
      </w:r>
      <w:r>
        <w:rPr>
          <w:rFonts w:hint="eastAsia" w:ascii="宋体" w:hAnsi="宋体" w:cs="宋体"/>
          <w:szCs w:val="21"/>
        </w:rPr>
        <w:t xml:space="preserve"> (采购方式)确定</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rPr>
        <w:t>(成交供应商名称)(以下简称：“乙方”)为</w:t>
      </w:r>
      <w:r>
        <w:rPr>
          <w:rFonts w:hint="eastAsia" w:ascii="宋体" w:hAnsi="宋体" w:cs="宋体"/>
          <w:szCs w:val="21"/>
          <w:u w:val="single"/>
        </w:rPr>
        <w:t>云南省生态环境监测中心云南省土壤环境信息化管理平台运维项目</w:t>
      </w:r>
      <w:r>
        <w:rPr>
          <w:rFonts w:hint="eastAsia" w:ascii="宋体" w:hAnsi="宋体" w:cs="宋体"/>
          <w:szCs w:val="21"/>
        </w:rPr>
        <w:t>的成交供应商。甲乙双方协商一致同意签署《云南省生态环境监测中心云南省土壤环境信息化管理平台运维项目采购合同》，以下简称：“合同”)。</w:t>
      </w:r>
    </w:p>
    <w:p>
      <w:pPr>
        <w:pStyle w:val="5"/>
        <w:tabs>
          <w:tab w:val="left" w:pos="0"/>
        </w:tabs>
        <w:adjustRightInd w:val="0"/>
        <w:snapToGrid w:val="0"/>
        <w:spacing w:before="0" w:after="0"/>
        <w:ind w:firstLine="0" w:firstLineChars="0"/>
        <w:jc w:val="left"/>
        <w:rPr>
          <w:rFonts w:hAnsi="宋体"/>
          <w:sz w:val="24"/>
          <w:szCs w:val="24"/>
        </w:rPr>
      </w:pPr>
      <w:bookmarkStart w:id="519" w:name="_Toc20389"/>
      <w:bookmarkStart w:id="520" w:name="_Toc13623"/>
      <w:bookmarkStart w:id="521" w:name="_Toc31264"/>
      <w:bookmarkStart w:id="522" w:name="_Toc23547"/>
      <w:bookmarkStart w:id="523" w:name="_Toc29245"/>
      <w:r>
        <w:rPr>
          <w:rFonts w:hint="eastAsia" w:hAnsi="宋体"/>
          <w:sz w:val="24"/>
          <w:szCs w:val="24"/>
        </w:rPr>
        <w:t>一、项目概况及服务内容</w:t>
      </w:r>
      <w:bookmarkEnd w:id="519"/>
      <w:bookmarkEnd w:id="520"/>
      <w:bookmarkEnd w:id="521"/>
      <w:bookmarkEnd w:id="522"/>
      <w:bookmarkEnd w:id="523"/>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1、项目（标段）名称：云南省生态环境监测中心云南省土壤环境信息化管理平台运维项目。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2、服务内容：①现有设备及软件系统运维。②日常管理任务。③配合开展相关系统维护。</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3、合同履行期限：</w:t>
      </w:r>
      <w:r>
        <w:rPr>
          <w:rFonts w:hint="eastAsia"/>
        </w:rPr>
        <w:t>签订合同之日起</w:t>
      </w:r>
      <w:r>
        <w:rPr>
          <w:rFonts w:hint="eastAsia" w:ascii="宋体" w:hAnsi="宋体" w:cs="宋体"/>
        </w:rPr>
        <w:t>至2024年12月31日</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4、服务地点：云南省生态环境监测中心（具体由采购人指定）。</w:t>
      </w:r>
    </w:p>
    <w:p>
      <w:pPr>
        <w:pStyle w:val="2"/>
        <w:adjustRightInd w:val="0"/>
        <w:snapToGrid w:val="0"/>
        <w:spacing w:after="0" w:line="360" w:lineRule="auto"/>
        <w:ind w:firstLine="420" w:firstLineChars="200"/>
      </w:pPr>
      <w:r>
        <w:rPr>
          <w:rFonts w:hint="eastAsia" w:ascii="宋体" w:hAnsi="宋体" w:cs="宋体"/>
          <w:sz w:val="21"/>
          <w:szCs w:val="21"/>
        </w:rPr>
        <w:t>5、服务标准：按照采购人要求完成采购内容的工作。</w:t>
      </w:r>
    </w:p>
    <w:p>
      <w:pPr>
        <w:pStyle w:val="5"/>
        <w:tabs>
          <w:tab w:val="left" w:pos="0"/>
        </w:tabs>
        <w:adjustRightInd w:val="0"/>
        <w:snapToGrid w:val="0"/>
        <w:spacing w:before="0" w:after="0"/>
        <w:ind w:firstLine="0" w:firstLineChars="0"/>
        <w:jc w:val="left"/>
        <w:rPr>
          <w:rFonts w:hAnsi="宋体"/>
          <w:sz w:val="24"/>
          <w:szCs w:val="24"/>
        </w:rPr>
      </w:pPr>
      <w:bookmarkStart w:id="524" w:name="_Toc5194"/>
      <w:bookmarkStart w:id="525" w:name="_Toc919"/>
      <w:bookmarkStart w:id="526" w:name="_Toc1714"/>
      <w:bookmarkStart w:id="527" w:name="_Toc7613"/>
      <w:bookmarkStart w:id="528" w:name="_Toc9041"/>
      <w:r>
        <w:rPr>
          <w:rFonts w:hint="eastAsia" w:hAnsi="宋体"/>
          <w:sz w:val="24"/>
          <w:szCs w:val="24"/>
        </w:rPr>
        <w:t>二、服务要求</w:t>
      </w:r>
    </w:p>
    <w:p>
      <w:pPr>
        <w:adjustRightInd w:val="0"/>
        <w:snapToGrid w:val="0"/>
        <w:spacing w:line="360" w:lineRule="auto"/>
        <w:ind w:firstLine="420" w:firstLineChars="200"/>
        <w:rPr>
          <w:rFonts w:ascii="宋体" w:hAnsi="宋体" w:cs="宋体"/>
        </w:rPr>
      </w:pPr>
      <w:r>
        <w:rPr>
          <w:rFonts w:hint="eastAsia" w:ascii="宋体" w:hAnsi="宋体" w:cs="宋体"/>
        </w:rPr>
        <w:t>1、现场值守服务维护团队需要指派3名服务技术服务工程师在合同期进行现场工作，按甲方要求开展工作。负责对现场设备运行状态进行监视、管理和维护以及工作终端的管理和维护，通过对系统运行日志的分析提前发现并排除可能发生的潜在故障，并在全部维护服务团队支持下，在1小时内排除普通故障，2小时内排除较大故障，4小时内排除重大故障，24小时内排除特大故障；</w:t>
      </w:r>
    </w:p>
    <w:p>
      <w:pPr>
        <w:adjustRightInd w:val="0"/>
        <w:snapToGrid w:val="0"/>
        <w:spacing w:line="360" w:lineRule="auto"/>
        <w:ind w:firstLine="420" w:firstLineChars="200"/>
        <w:rPr>
          <w:rFonts w:ascii="宋体" w:hAnsi="宋体" w:cs="宋体"/>
        </w:rPr>
      </w:pPr>
      <w:r>
        <w:rPr>
          <w:rFonts w:hint="eastAsia" w:ascii="宋体" w:hAnsi="宋体" w:cs="宋体"/>
        </w:rPr>
        <w:t>2、除了现场值守服务方式外，同时，提供7×24小时故障响应服务具体包括：</w:t>
      </w:r>
    </w:p>
    <w:p>
      <w:pPr>
        <w:adjustRightInd w:val="0"/>
        <w:snapToGrid w:val="0"/>
        <w:spacing w:line="360" w:lineRule="auto"/>
        <w:ind w:firstLine="420" w:firstLineChars="200"/>
        <w:rPr>
          <w:rFonts w:ascii="宋体" w:hAnsi="宋体" w:cs="宋体"/>
        </w:rPr>
      </w:pPr>
      <w:r>
        <w:rPr>
          <w:rFonts w:hint="eastAsia" w:ascii="宋体" w:hAnsi="宋体" w:cs="宋体"/>
        </w:rPr>
        <w:t>维护期内提供电话、传真、电子邮件等方式的咨询和支持服务。</w:t>
      </w:r>
    </w:p>
    <w:p>
      <w:pPr>
        <w:adjustRightInd w:val="0"/>
        <w:snapToGrid w:val="0"/>
        <w:spacing w:line="360" w:lineRule="auto"/>
        <w:ind w:firstLine="420" w:firstLineChars="200"/>
        <w:rPr>
          <w:rFonts w:ascii="宋体" w:hAnsi="宋体" w:cs="宋体"/>
        </w:rPr>
      </w:pPr>
      <w:r>
        <w:rPr>
          <w:rFonts w:hint="eastAsia" w:ascii="宋体" w:hAnsi="宋体" w:cs="宋体"/>
        </w:rPr>
        <w:t>主要系统设备出现故障时，15分钟内响应，当现场维护工程师或节假日值班维护工程师无法排除故障时，1小时内派专业工程师赶赴现场进行故障诊断及处理，在1小时内排除普通故障，2小时内排除较大故障，4小时内排除重大故障，24小时内排除特大故障。</w:t>
      </w:r>
    </w:p>
    <w:p>
      <w:pPr>
        <w:adjustRightInd w:val="0"/>
        <w:snapToGrid w:val="0"/>
        <w:spacing w:line="360" w:lineRule="auto"/>
        <w:ind w:firstLine="420" w:firstLineChars="200"/>
        <w:rPr>
          <w:rFonts w:ascii="宋体" w:hAnsi="宋体" w:cs="宋体"/>
        </w:rPr>
      </w:pPr>
      <w:r>
        <w:rPr>
          <w:rFonts w:hint="eastAsia" w:ascii="宋体" w:hAnsi="宋体" w:cs="宋体"/>
        </w:rPr>
        <w:t>一般故障，正常工作日内响应。</w:t>
      </w:r>
    </w:p>
    <w:p>
      <w:pPr>
        <w:adjustRightInd w:val="0"/>
        <w:snapToGrid w:val="0"/>
        <w:spacing w:line="360" w:lineRule="auto"/>
        <w:ind w:firstLine="420" w:firstLineChars="200"/>
        <w:rPr>
          <w:rFonts w:ascii="宋体" w:hAnsi="宋体" w:cs="宋体"/>
        </w:rPr>
      </w:pPr>
      <w:r>
        <w:rPr>
          <w:rFonts w:hint="eastAsia" w:ascii="宋体" w:hAnsi="宋体" w:cs="宋体"/>
        </w:rPr>
        <w:t>3、当系统在非工作日出现异常时，维护团队现场人员将在1小时内赶赴现场并排除系统普通故障，特大故障将在24小时内处理完毕。</w:t>
      </w:r>
    </w:p>
    <w:p>
      <w:pPr>
        <w:adjustRightInd w:val="0"/>
        <w:snapToGrid w:val="0"/>
        <w:spacing w:line="360" w:lineRule="auto"/>
        <w:ind w:firstLine="420" w:firstLineChars="200"/>
        <w:rPr>
          <w:rFonts w:ascii="宋体" w:hAnsi="宋体" w:cs="宋体"/>
        </w:rPr>
      </w:pPr>
      <w:r>
        <w:rPr>
          <w:rFonts w:hint="eastAsia" w:ascii="宋体" w:hAnsi="宋体" w:cs="宋体"/>
        </w:rPr>
        <w:t>具体联系方式包括：通过维护团队提供的7×24小时响应服务热线；现场维护人员通过移动通信网络（当运维管理系统具备短信故障报警通知功能时）接收到系统报警信息；或维护人员接到服务请求电话时；</w:t>
      </w:r>
    </w:p>
    <w:p>
      <w:pPr>
        <w:adjustRightInd w:val="0"/>
        <w:snapToGrid w:val="0"/>
        <w:spacing w:line="360" w:lineRule="auto"/>
        <w:ind w:firstLine="420" w:firstLineChars="200"/>
        <w:rPr>
          <w:rFonts w:ascii="宋体" w:hAnsi="宋体" w:cs="宋体"/>
        </w:rPr>
      </w:pPr>
      <w:r>
        <w:rPr>
          <w:rFonts w:hint="eastAsia" w:ascii="宋体" w:hAnsi="宋体" w:cs="宋体"/>
        </w:rPr>
        <w:t>4、当遇到重大活动需要提供临时保障服务时，维护团队须在需要保障服务的前三天到达现场，并对所有设备进行临时性安全检查，排除安全隐患，以做到万无一失；</w:t>
      </w:r>
    </w:p>
    <w:p>
      <w:pPr>
        <w:adjustRightInd w:val="0"/>
        <w:snapToGrid w:val="0"/>
        <w:spacing w:line="360" w:lineRule="auto"/>
        <w:ind w:firstLine="420" w:firstLineChars="200"/>
        <w:rPr>
          <w:rFonts w:eastAsia="仿宋"/>
        </w:rPr>
      </w:pPr>
      <w:r>
        <w:rPr>
          <w:rFonts w:hint="eastAsia" w:ascii="宋体" w:hAnsi="宋体" w:cs="宋体"/>
        </w:rPr>
        <w:t>5、每月对各系统及设备进行检查，进行安全系统、防病毒系统检查，进行漏洞扫描，并对检查中存在的故障及安全隐患进行处理。每月第一周向用户单位提交上月的《月度巡检报告》，报请用户单位审批签署；每季度对由维护团队的专业维护队伍对所有设备进行安全评估和风险分析，提交完整的安全状况评估报告，分析存在的安全漏洞情况；每年由维护团队组织相关的专家（含硬件和软件）对整个系统进行安全检查，对每个硬件设备及软件系统使用状态进行风险评估。</w:t>
      </w:r>
    </w:p>
    <w:p>
      <w:pPr>
        <w:pStyle w:val="5"/>
        <w:tabs>
          <w:tab w:val="left" w:pos="0"/>
        </w:tabs>
        <w:adjustRightInd w:val="0"/>
        <w:snapToGrid w:val="0"/>
        <w:spacing w:before="0" w:after="0"/>
        <w:ind w:firstLine="0" w:firstLineChars="0"/>
        <w:jc w:val="left"/>
        <w:rPr>
          <w:rFonts w:hAnsi="宋体"/>
          <w:sz w:val="24"/>
          <w:szCs w:val="24"/>
        </w:rPr>
      </w:pPr>
      <w:r>
        <w:rPr>
          <w:rFonts w:hint="eastAsia" w:hAnsi="宋体"/>
          <w:sz w:val="24"/>
          <w:szCs w:val="24"/>
        </w:rPr>
        <w:t>三、甲乙双方的权利和义务</w:t>
      </w:r>
      <w:bookmarkEnd w:id="524"/>
      <w:bookmarkEnd w:id="525"/>
      <w:bookmarkEnd w:id="526"/>
      <w:bookmarkEnd w:id="527"/>
      <w:bookmarkEnd w:id="528"/>
    </w:p>
    <w:p>
      <w:pPr>
        <w:adjustRightInd w:val="0"/>
        <w:snapToGrid w:val="0"/>
        <w:spacing w:line="360" w:lineRule="auto"/>
        <w:rPr>
          <w:rFonts w:ascii="宋体" w:hAnsi="宋体" w:cs="宋体"/>
          <w:szCs w:val="21"/>
        </w:rPr>
      </w:pPr>
      <w:r>
        <w:rPr>
          <w:rFonts w:hint="eastAsia" w:ascii="宋体" w:hAnsi="宋体" w:cs="宋体"/>
          <w:szCs w:val="21"/>
        </w:rPr>
        <w:t>（一）甲方的权利和义务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1、甲方应按本合同约定支付合同价款。</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2、甲方有权随时了解乙方的工作进展情况。</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3、甲方应向乙方提供为完成服务工作所需要的信息、资料和其他相关协助。</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4、甲方有权按照本合同约定对乙方提供的工作成果进行验收。甲方有权确认各阶段及最终工作成果是否满足甲方具体需要及该项目是否验收合格。</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甲方对乙方提供的工作成果进行验收，如发现与合同约定不符或不满足甲方需求，有权拒绝接受该工作成果。该工作成果已经提供给甲方的，甲方有权就与合同约定不符或不满足甲方需求的部分拒绝支付相应工作成果的合同价款。如造成甲方无法实现合同目的，甲方有权拒绝接受全部工作成果并拒绝支付全部合同价款。</w:t>
      </w:r>
    </w:p>
    <w:p>
      <w:pPr>
        <w:adjustRightInd w:val="0"/>
        <w:snapToGrid w:val="0"/>
        <w:spacing w:line="360" w:lineRule="auto"/>
        <w:rPr>
          <w:rFonts w:ascii="宋体" w:hAnsi="宋体" w:cs="宋体"/>
          <w:szCs w:val="21"/>
        </w:rPr>
      </w:pPr>
      <w:r>
        <w:rPr>
          <w:rFonts w:hint="eastAsia" w:ascii="宋体" w:hAnsi="宋体" w:cs="宋体"/>
          <w:szCs w:val="21"/>
        </w:rPr>
        <w:t>（二）乙方的权利和义务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1、乙方应根据本合同的约定提供服务并提交工作成果。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2、乙方应根据本合同的约定提交相关文件、资料。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3、在合同履行过程中，乙方有义务协助甲方对工作成果进行验收。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4、乙方应按照本合同约定履行保密义务。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5、在合同履行期间及工作成果提交后，对甲方提出的有关本合同项目的任何问题，乙方有义务提供后续服务，包括但不限于免费修改、免费咨询等。</w:t>
      </w:r>
    </w:p>
    <w:p>
      <w:pPr>
        <w:pStyle w:val="2"/>
        <w:adjustRightInd w:val="0"/>
        <w:snapToGrid w:val="0"/>
        <w:spacing w:after="0" w:line="360" w:lineRule="auto"/>
        <w:ind w:firstLine="420" w:firstLineChars="200"/>
        <w:rPr>
          <w:rFonts w:ascii="宋体" w:hAnsi="宋体" w:cs="宋体"/>
          <w:kern w:val="2"/>
          <w:sz w:val="21"/>
          <w:szCs w:val="21"/>
        </w:rPr>
      </w:pPr>
      <w:r>
        <w:rPr>
          <w:rFonts w:hint="eastAsia" w:ascii="宋体" w:hAnsi="宋体" w:cs="宋体"/>
          <w:kern w:val="2"/>
          <w:sz w:val="21"/>
          <w:szCs w:val="21"/>
        </w:rPr>
        <w:t>6、满足国家及省级关于廉政和保密的相关要求。</w:t>
      </w:r>
    </w:p>
    <w:p>
      <w:pPr>
        <w:pStyle w:val="5"/>
        <w:tabs>
          <w:tab w:val="left" w:pos="0"/>
        </w:tabs>
        <w:adjustRightInd w:val="0"/>
        <w:snapToGrid w:val="0"/>
        <w:spacing w:before="0" w:after="0"/>
        <w:ind w:firstLine="0" w:firstLineChars="0"/>
        <w:jc w:val="left"/>
        <w:rPr>
          <w:rFonts w:hAnsi="宋体"/>
          <w:sz w:val="24"/>
          <w:szCs w:val="24"/>
        </w:rPr>
      </w:pPr>
      <w:bookmarkStart w:id="529" w:name="_Toc18905"/>
      <w:bookmarkStart w:id="530" w:name="_Toc14116"/>
      <w:bookmarkStart w:id="531" w:name="_Toc25666"/>
      <w:bookmarkStart w:id="532" w:name="_Toc16758"/>
      <w:bookmarkStart w:id="533" w:name="_Toc18990"/>
      <w:r>
        <w:rPr>
          <w:rFonts w:hint="eastAsia" w:hAnsi="宋体"/>
          <w:sz w:val="24"/>
          <w:szCs w:val="24"/>
        </w:rPr>
        <w:t>四、项目成果提交及验收</w:t>
      </w:r>
      <w:bookmarkEnd w:id="529"/>
      <w:bookmarkEnd w:id="530"/>
      <w:bookmarkEnd w:id="531"/>
      <w:bookmarkEnd w:id="532"/>
      <w:bookmarkEnd w:id="533"/>
    </w:p>
    <w:p>
      <w:pPr>
        <w:adjustRightInd w:val="0"/>
        <w:snapToGrid w:val="0"/>
        <w:spacing w:line="360" w:lineRule="auto"/>
        <w:ind w:firstLine="420" w:firstLineChars="200"/>
      </w:pPr>
      <w:r>
        <w:rPr>
          <w:rFonts w:hint="eastAsia" w:ascii="宋体" w:hAnsi="宋体" w:cs="宋体"/>
          <w:szCs w:val="21"/>
        </w:rPr>
        <w:t>1、本项目完成后，乙方应向甲方提供以下项目成果：</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2、以上成果经甲方按本合同约定的内容进行逐项验收，经甲方验收合同后，视为乙方完成全部合同内容。</w:t>
      </w:r>
    </w:p>
    <w:p>
      <w:pPr>
        <w:pStyle w:val="5"/>
        <w:tabs>
          <w:tab w:val="left" w:pos="0"/>
        </w:tabs>
        <w:adjustRightInd w:val="0"/>
        <w:snapToGrid w:val="0"/>
        <w:spacing w:before="0" w:after="0"/>
        <w:ind w:firstLine="0" w:firstLineChars="0"/>
        <w:jc w:val="left"/>
        <w:rPr>
          <w:rFonts w:hAnsi="宋体"/>
          <w:sz w:val="24"/>
          <w:szCs w:val="24"/>
        </w:rPr>
      </w:pPr>
      <w:bookmarkStart w:id="534" w:name="_Toc17683"/>
      <w:bookmarkStart w:id="535" w:name="_Toc22516"/>
      <w:bookmarkStart w:id="536" w:name="_Toc16736"/>
      <w:bookmarkStart w:id="537" w:name="_Toc24243"/>
      <w:r>
        <w:rPr>
          <w:rFonts w:hint="eastAsia" w:hAnsi="宋体"/>
          <w:sz w:val="24"/>
          <w:szCs w:val="24"/>
        </w:rPr>
        <w:t>五、合同价款及付款方式</w:t>
      </w:r>
      <w:bookmarkEnd w:id="518"/>
      <w:bookmarkEnd w:id="534"/>
      <w:bookmarkEnd w:id="535"/>
      <w:bookmarkEnd w:id="536"/>
      <w:bookmarkEnd w:id="537"/>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w:t>
      </w:r>
      <w:r>
        <w:rPr>
          <w:rFonts w:ascii="宋体" w:hAnsi="宋体" w:cs="宋体"/>
          <w:szCs w:val="21"/>
        </w:rPr>
        <w:t>1）</w:t>
      </w:r>
      <w:r>
        <w:rPr>
          <w:rFonts w:hint="eastAsia" w:ascii="宋体" w:hAnsi="宋体" w:cs="宋体"/>
          <w:szCs w:val="21"/>
        </w:rPr>
        <w:t>合同价款</w:t>
      </w:r>
    </w:p>
    <w:tbl>
      <w:tblPr>
        <w:tblStyle w:val="40"/>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2114"/>
        <w:gridCol w:w="6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82" w:hRule="atLeast"/>
          <w:jc w:val="center"/>
        </w:trPr>
        <w:tc>
          <w:tcPr>
            <w:tcW w:w="1180" w:type="pct"/>
            <w:vMerge w:val="restart"/>
            <w:tcBorders>
              <w:top w:val="single" w:color="auto" w:sz="6" w:space="0"/>
              <w:left w:val="single" w:color="auto" w:sz="6" w:space="0"/>
              <w:right w:val="single" w:color="auto" w:sz="6" w:space="0"/>
            </w:tcBorders>
            <w:vAlign w:val="center"/>
          </w:tcPr>
          <w:p>
            <w:pPr>
              <w:adjustRightInd w:val="0"/>
              <w:snapToGrid w:val="0"/>
              <w:spacing w:line="360" w:lineRule="auto"/>
              <w:jc w:val="center"/>
              <w:rPr>
                <w:rFonts w:ascii="宋体" w:hAnsi="宋体"/>
                <w:kern w:val="0"/>
                <w:szCs w:val="21"/>
              </w:rPr>
            </w:pPr>
            <w:r>
              <w:rPr>
                <w:rFonts w:hint="eastAsia" w:ascii="宋体" w:hAnsi="宋体"/>
                <w:kern w:val="0"/>
                <w:szCs w:val="21"/>
              </w:rPr>
              <w:t>合同总价（万元）</w:t>
            </w:r>
          </w:p>
        </w:tc>
        <w:tc>
          <w:tcPr>
            <w:tcW w:w="3819" w:type="pct"/>
            <w:tcBorders>
              <w:top w:val="single" w:color="auto" w:sz="6" w:space="0"/>
              <w:left w:val="single" w:color="auto" w:sz="6" w:space="0"/>
              <w:right w:val="single" w:color="auto" w:sz="6" w:space="0"/>
            </w:tcBorders>
            <w:vAlign w:val="center"/>
          </w:tcPr>
          <w:p>
            <w:pPr>
              <w:adjustRightInd w:val="0"/>
              <w:snapToGrid w:val="0"/>
              <w:spacing w:line="360" w:lineRule="auto"/>
              <w:jc w:val="left"/>
              <w:rPr>
                <w:rFonts w:ascii="宋体" w:hAnsi="宋体"/>
                <w:kern w:val="0"/>
                <w:szCs w:val="21"/>
              </w:rPr>
            </w:pPr>
            <w:r>
              <w:rPr>
                <w:rFonts w:hint="eastAsia" w:ascii="宋体" w:hAnsi="宋体"/>
                <w:kern w:val="0"/>
                <w:szCs w:val="21"/>
              </w:rPr>
              <w:t>小写（万元）：</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cantSplit/>
          <w:trHeight w:val="597" w:hRule="atLeast"/>
          <w:jc w:val="center"/>
        </w:trPr>
        <w:tc>
          <w:tcPr>
            <w:tcW w:w="1180" w:type="pct"/>
            <w:vMerge w:val="continue"/>
            <w:tcBorders>
              <w:left w:val="single" w:color="auto" w:sz="6" w:space="0"/>
              <w:bottom w:val="single" w:color="auto" w:sz="6" w:space="0"/>
              <w:right w:val="single" w:color="auto" w:sz="6" w:space="0"/>
            </w:tcBorders>
            <w:vAlign w:val="center"/>
          </w:tcPr>
          <w:p>
            <w:pPr>
              <w:adjustRightInd w:val="0"/>
              <w:snapToGrid w:val="0"/>
              <w:spacing w:line="360" w:lineRule="auto"/>
              <w:ind w:firstLine="420"/>
              <w:jc w:val="center"/>
              <w:rPr>
                <w:rFonts w:ascii="宋体" w:hAnsi="宋体"/>
                <w:kern w:val="0"/>
                <w:szCs w:val="21"/>
              </w:rPr>
            </w:pPr>
          </w:p>
        </w:tc>
        <w:tc>
          <w:tcPr>
            <w:tcW w:w="3819" w:type="pct"/>
            <w:tcBorders>
              <w:left w:val="single" w:color="auto" w:sz="6" w:space="0"/>
              <w:bottom w:val="single" w:color="auto" w:sz="6" w:space="0"/>
              <w:right w:val="single" w:color="auto" w:sz="6" w:space="0"/>
            </w:tcBorders>
            <w:vAlign w:val="center"/>
          </w:tcPr>
          <w:p>
            <w:pPr>
              <w:adjustRightInd w:val="0"/>
              <w:snapToGrid w:val="0"/>
              <w:spacing w:line="360" w:lineRule="auto"/>
              <w:jc w:val="left"/>
              <w:rPr>
                <w:rFonts w:ascii="宋体" w:hAnsi="宋体"/>
                <w:kern w:val="0"/>
                <w:szCs w:val="21"/>
              </w:rPr>
            </w:pPr>
            <w:r>
              <w:rPr>
                <w:rFonts w:hint="eastAsia" w:ascii="宋体" w:hAnsi="宋体"/>
                <w:kern w:val="0"/>
                <w:szCs w:val="21"/>
              </w:rPr>
              <w:t>大写：</w:t>
            </w:r>
          </w:p>
        </w:tc>
      </w:tr>
    </w:tbl>
    <w:p>
      <w:pPr>
        <w:widowControl/>
        <w:adjustRightInd w:val="0"/>
        <w:snapToGrid w:val="0"/>
        <w:spacing w:line="360" w:lineRule="auto"/>
        <w:ind w:firstLine="210" w:firstLineChars="100"/>
        <w:rPr>
          <w:rFonts w:ascii="宋体" w:hAnsi="宋体" w:cs="宋体"/>
          <w:szCs w:val="21"/>
        </w:rPr>
      </w:pPr>
      <w:r>
        <w:rPr>
          <w:rFonts w:hint="eastAsia" w:ascii="宋体" w:hAnsi="宋体" w:cs="宋体"/>
          <w:szCs w:val="21"/>
        </w:rPr>
        <w:t>（</w:t>
      </w:r>
      <w:r>
        <w:rPr>
          <w:rFonts w:ascii="宋体" w:hAnsi="宋体" w:cs="宋体"/>
          <w:szCs w:val="21"/>
        </w:rPr>
        <w:t>2）</w:t>
      </w:r>
      <w:r>
        <w:rPr>
          <w:rFonts w:hint="eastAsia" w:ascii="宋体" w:hAnsi="宋体" w:cs="宋体"/>
          <w:szCs w:val="21"/>
        </w:rPr>
        <w:t>付款</w:t>
      </w:r>
      <w:r>
        <w:rPr>
          <w:rFonts w:ascii="宋体" w:hAnsi="宋体" w:cs="宋体"/>
          <w:szCs w:val="21"/>
        </w:rPr>
        <w:t>方式：</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①付款方式：</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合同签订后付款  %，项目验收合格后付款   %。履约保证金：合同金额的5%，项目验收合格后无息退还。</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②乙方账号及开户行</w:t>
      </w:r>
    </w:p>
    <w:p>
      <w:pPr>
        <w:tabs>
          <w:tab w:val="left" w:pos="6930"/>
        </w:tabs>
        <w:overflowPunct w:val="0"/>
        <w:autoSpaceDE w:val="0"/>
        <w:autoSpaceDN w:val="0"/>
        <w:adjustRightInd w:val="0"/>
        <w:snapToGrid w:val="0"/>
        <w:spacing w:line="360" w:lineRule="auto"/>
        <w:ind w:firstLine="210" w:firstLineChars="100"/>
        <w:jc w:val="left"/>
        <w:rPr>
          <w:rFonts w:ascii="宋体" w:hAnsi="宋体" w:cs="宋体"/>
          <w:kern w:val="0"/>
          <w:szCs w:val="21"/>
        </w:rPr>
      </w:pPr>
      <w:r>
        <w:rPr>
          <w:rFonts w:hint="eastAsia" w:ascii="宋体" w:hAnsi="宋体" w:cs="宋体"/>
          <w:kern w:val="0"/>
          <w:szCs w:val="21"/>
        </w:rPr>
        <w:t>开户银行：</w:t>
      </w:r>
      <w:r>
        <w:rPr>
          <w:rFonts w:hint="eastAsia" w:ascii="宋体" w:hAnsi="宋体" w:cs="宋体"/>
          <w:kern w:val="0"/>
          <w:szCs w:val="21"/>
          <w:u w:val="single"/>
        </w:rPr>
        <w:t xml:space="preserve">                                                    </w:t>
      </w:r>
      <w:r>
        <w:rPr>
          <w:rFonts w:hint="eastAsia" w:ascii="宋体" w:hAnsi="宋体" w:cs="宋体"/>
          <w:kern w:val="0"/>
          <w:szCs w:val="21"/>
        </w:rPr>
        <w:t>。</w:t>
      </w:r>
    </w:p>
    <w:p>
      <w:pPr>
        <w:tabs>
          <w:tab w:val="left" w:pos="6930"/>
        </w:tabs>
        <w:overflowPunct w:val="0"/>
        <w:autoSpaceDE w:val="0"/>
        <w:autoSpaceDN w:val="0"/>
        <w:adjustRightInd w:val="0"/>
        <w:snapToGrid w:val="0"/>
        <w:spacing w:line="360" w:lineRule="auto"/>
        <w:ind w:firstLine="210" w:firstLineChars="100"/>
        <w:jc w:val="left"/>
        <w:rPr>
          <w:rFonts w:ascii="宋体" w:hAnsi="宋体" w:cs="宋体"/>
          <w:kern w:val="0"/>
          <w:szCs w:val="21"/>
          <w:u w:val="single"/>
        </w:rPr>
      </w:pPr>
      <w:r>
        <w:rPr>
          <w:rFonts w:hint="eastAsia" w:ascii="宋体" w:hAnsi="宋体" w:cs="宋体"/>
          <w:kern w:val="0"/>
          <w:szCs w:val="21"/>
        </w:rPr>
        <w:t>账号：</w:t>
      </w:r>
      <w:r>
        <w:rPr>
          <w:rFonts w:hint="eastAsia" w:ascii="宋体" w:hAnsi="宋体" w:cs="宋体"/>
          <w:kern w:val="0"/>
          <w:szCs w:val="21"/>
          <w:u w:val="single"/>
        </w:rPr>
        <w:t xml:space="preserve">                                                        </w:t>
      </w:r>
      <w:r>
        <w:rPr>
          <w:rFonts w:hint="eastAsia" w:ascii="宋体" w:hAnsi="宋体" w:cs="宋体"/>
          <w:kern w:val="0"/>
          <w:szCs w:val="21"/>
        </w:rPr>
        <w:t>。</w:t>
      </w:r>
    </w:p>
    <w:p>
      <w:pPr>
        <w:tabs>
          <w:tab w:val="left" w:pos="6930"/>
        </w:tabs>
        <w:overflowPunct w:val="0"/>
        <w:autoSpaceDE w:val="0"/>
        <w:autoSpaceDN w:val="0"/>
        <w:adjustRightInd w:val="0"/>
        <w:snapToGrid w:val="0"/>
        <w:spacing w:line="360" w:lineRule="auto"/>
        <w:ind w:firstLine="210" w:firstLineChars="100"/>
        <w:jc w:val="left"/>
        <w:rPr>
          <w:rFonts w:ascii="宋体" w:hAnsi="宋体" w:cs="宋体"/>
          <w:kern w:val="0"/>
          <w:szCs w:val="21"/>
          <w:u w:val="single"/>
        </w:rPr>
      </w:pPr>
      <w:r>
        <w:rPr>
          <w:rFonts w:hint="eastAsia" w:ascii="宋体" w:hAnsi="宋体" w:cs="宋体"/>
          <w:kern w:val="0"/>
          <w:szCs w:val="21"/>
        </w:rPr>
        <w:t>账户名称：</w:t>
      </w:r>
      <w:r>
        <w:rPr>
          <w:rFonts w:hint="eastAsia" w:ascii="宋体" w:hAnsi="宋体" w:cs="宋体"/>
          <w:kern w:val="0"/>
          <w:szCs w:val="21"/>
          <w:u w:val="single"/>
        </w:rPr>
        <w:t xml:space="preserve">                                                    </w:t>
      </w:r>
      <w:r>
        <w:rPr>
          <w:rFonts w:hint="eastAsia" w:ascii="宋体" w:hAnsi="宋体" w:cs="宋体"/>
          <w:kern w:val="0"/>
          <w:szCs w:val="21"/>
        </w:rPr>
        <w:t>。</w:t>
      </w:r>
    </w:p>
    <w:p>
      <w:pPr>
        <w:pStyle w:val="5"/>
        <w:tabs>
          <w:tab w:val="left" w:pos="0"/>
        </w:tabs>
        <w:adjustRightInd w:val="0"/>
        <w:snapToGrid w:val="0"/>
        <w:spacing w:before="0" w:after="0"/>
        <w:ind w:firstLine="0" w:firstLineChars="0"/>
        <w:jc w:val="left"/>
        <w:rPr>
          <w:rFonts w:hAnsi="宋体"/>
          <w:sz w:val="24"/>
          <w:szCs w:val="24"/>
        </w:rPr>
      </w:pPr>
      <w:bookmarkStart w:id="538" w:name="_Toc131557664"/>
      <w:bookmarkStart w:id="539" w:name="_Toc29325"/>
      <w:bookmarkStart w:id="540" w:name="_Toc27688"/>
      <w:bookmarkStart w:id="541" w:name="_Toc25638"/>
      <w:bookmarkStart w:id="542" w:name="_Toc7517"/>
      <w:r>
        <w:rPr>
          <w:rFonts w:hint="eastAsia" w:hAnsi="宋体"/>
          <w:sz w:val="24"/>
          <w:szCs w:val="24"/>
        </w:rPr>
        <w:t>六、</w:t>
      </w:r>
      <w:bookmarkEnd w:id="538"/>
      <w:r>
        <w:rPr>
          <w:rFonts w:hint="eastAsia" w:hAnsi="宋体"/>
          <w:sz w:val="24"/>
          <w:szCs w:val="24"/>
        </w:rPr>
        <w:t>技术支持</w:t>
      </w:r>
      <w:bookmarkEnd w:id="539"/>
      <w:bookmarkEnd w:id="540"/>
      <w:bookmarkEnd w:id="541"/>
      <w:bookmarkEnd w:id="542"/>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1.甲方在工作过程中发生技术、质量等问题，乙方应提供及时有效的技术支持及服务。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2.乙方应向甲方提供技术支持的名单、联系地址、联系电话。</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3.乙方技术支持联系人：</w:t>
      </w:r>
      <w:r>
        <w:rPr>
          <w:rFonts w:hint="eastAsia" w:ascii="宋体" w:hAnsi="宋体" w:cs="宋体"/>
          <w:szCs w:val="21"/>
          <w:u w:val="single"/>
        </w:rPr>
        <w:t xml:space="preserve"> </w:t>
      </w:r>
      <w:r>
        <w:rPr>
          <w:rFonts w:ascii="宋体" w:hAnsi="宋体" w:cs="宋体"/>
          <w:szCs w:val="21"/>
          <w:u w:val="single"/>
        </w:rPr>
        <w:t xml:space="preserve">     </w:t>
      </w:r>
      <w:r>
        <w:rPr>
          <w:rFonts w:ascii="宋体" w:hAnsi="宋体" w:cs="宋体"/>
          <w:szCs w:val="21"/>
        </w:rPr>
        <w:t xml:space="preserve"> </w:t>
      </w:r>
      <w:r>
        <w:rPr>
          <w:rFonts w:hint="eastAsia" w:ascii="宋体" w:hAnsi="宋体" w:cs="宋体"/>
          <w:szCs w:val="21"/>
        </w:rPr>
        <w:t>，电话：</w:t>
      </w:r>
      <w:r>
        <w:rPr>
          <w:rFonts w:hint="eastAsia" w:ascii="宋体" w:hAnsi="宋体" w:cs="宋体"/>
          <w:szCs w:val="21"/>
          <w:u w:val="single"/>
        </w:rPr>
        <w:t xml:space="preserve"> </w:t>
      </w:r>
      <w:r>
        <w:rPr>
          <w:rFonts w:ascii="宋体" w:hAnsi="宋体" w:cs="宋体"/>
          <w:szCs w:val="21"/>
          <w:u w:val="single"/>
        </w:rPr>
        <w:t xml:space="preserve">       。</w:t>
      </w:r>
    </w:p>
    <w:p>
      <w:pPr>
        <w:pStyle w:val="5"/>
        <w:tabs>
          <w:tab w:val="left" w:pos="0"/>
        </w:tabs>
        <w:adjustRightInd w:val="0"/>
        <w:snapToGrid w:val="0"/>
        <w:spacing w:before="0" w:after="0"/>
        <w:ind w:firstLine="0" w:firstLineChars="0"/>
        <w:jc w:val="left"/>
        <w:rPr>
          <w:rFonts w:hAnsi="宋体"/>
          <w:sz w:val="24"/>
          <w:szCs w:val="24"/>
        </w:rPr>
      </w:pPr>
      <w:bookmarkStart w:id="543" w:name="_Toc20528"/>
      <w:bookmarkStart w:id="544" w:name="_Toc32241"/>
      <w:bookmarkStart w:id="545" w:name="_Toc16555"/>
      <w:bookmarkStart w:id="546" w:name="_Toc4026"/>
      <w:bookmarkStart w:id="547" w:name="_Toc531875319"/>
      <w:bookmarkStart w:id="548" w:name="_Toc131557666"/>
      <w:r>
        <w:rPr>
          <w:rFonts w:hint="eastAsia" w:hAnsi="宋体"/>
          <w:sz w:val="24"/>
          <w:szCs w:val="24"/>
        </w:rPr>
        <w:t>七、违约责任</w:t>
      </w:r>
      <w:bookmarkEnd w:id="543"/>
      <w:bookmarkEnd w:id="544"/>
      <w:bookmarkEnd w:id="545"/>
      <w:bookmarkEnd w:id="546"/>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1.甲乙任意一方无正当理由提前终止合同的，除支付正常费用外，应向对方支付本项目总额的</w:t>
      </w:r>
      <w:r>
        <w:rPr>
          <w:rFonts w:hint="eastAsia" w:ascii="宋体" w:hAnsi="宋体" w:cs="宋体"/>
          <w:i/>
          <w:szCs w:val="21"/>
          <w:u w:val="single"/>
        </w:rPr>
        <w:t xml:space="preserve">       </w:t>
      </w:r>
      <w:r>
        <w:rPr>
          <w:rFonts w:hint="eastAsia" w:ascii="宋体" w:hAnsi="宋体" w:cs="宋体"/>
          <w:szCs w:val="21"/>
        </w:rPr>
        <w:t>的违约金；并赔偿相应的损失。</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2.按照合同签订的验收标准，乙方未通过验收或验收不达标，甲方有权按照验收标准中明确的处罚或处理要求，追究乙方责任。</w:t>
      </w:r>
    </w:p>
    <w:p>
      <w:pPr>
        <w:pStyle w:val="5"/>
        <w:tabs>
          <w:tab w:val="left" w:pos="0"/>
        </w:tabs>
        <w:adjustRightInd w:val="0"/>
        <w:snapToGrid w:val="0"/>
        <w:spacing w:before="0" w:after="0"/>
        <w:ind w:firstLine="0" w:firstLineChars="0"/>
        <w:jc w:val="left"/>
        <w:rPr>
          <w:rFonts w:hAnsi="宋体"/>
          <w:sz w:val="24"/>
          <w:szCs w:val="24"/>
        </w:rPr>
      </w:pPr>
      <w:bookmarkStart w:id="549" w:name="_Toc15796"/>
      <w:bookmarkStart w:id="550" w:name="_Toc16093"/>
      <w:bookmarkStart w:id="551" w:name="_Toc4823"/>
      <w:bookmarkStart w:id="552" w:name="_Toc10275"/>
      <w:r>
        <w:rPr>
          <w:rFonts w:hint="eastAsia" w:hAnsi="宋体"/>
          <w:sz w:val="24"/>
          <w:szCs w:val="24"/>
        </w:rPr>
        <w:t>八、不可抗力</w:t>
      </w:r>
      <w:bookmarkEnd w:id="549"/>
      <w:bookmarkEnd w:id="550"/>
      <w:bookmarkEnd w:id="551"/>
      <w:bookmarkEnd w:id="552"/>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任何一方由于不可抗力原因不能履行合同时，应在不可抗力事件结束后1 日内向对方通报，以减轻可能给对方造成的损失，在取得有关机构的不可抗力证明或双方谅解确认后，允许延期履行或修订合同，并根据情况可部分或全部免于承担违约责任。</w:t>
      </w:r>
    </w:p>
    <w:p>
      <w:pPr>
        <w:pStyle w:val="5"/>
        <w:tabs>
          <w:tab w:val="left" w:pos="0"/>
        </w:tabs>
        <w:adjustRightInd w:val="0"/>
        <w:snapToGrid w:val="0"/>
        <w:spacing w:before="0" w:after="0"/>
        <w:ind w:firstLine="0" w:firstLineChars="0"/>
        <w:jc w:val="left"/>
        <w:rPr>
          <w:rFonts w:hAnsi="宋体"/>
          <w:sz w:val="24"/>
          <w:szCs w:val="24"/>
        </w:rPr>
      </w:pPr>
      <w:bookmarkStart w:id="553" w:name="_Toc19731"/>
      <w:bookmarkStart w:id="554" w:name="_Toc5947"/>
      <w:bookmarkStart w:id="555" w:name="_Toc8980"/>
      <w:bookmarkStart w:id="556" w:name="_Toc15570"/>
      <w:r>
        <w:rPr>
          <w:rFonts w:hint="eastAsia" w:hAnsi="宋体"/>
          <w:sz w:val="24"/>
          <w:szCs w:val="24"/>
        </w:rPr>
        <w:t>九、争议的解决</w:t>
      </w:r>
      <w:bookmarkEnd w:id="553"/>
      <w:bookmarkEnd w:id="554"/>
      <w:bookmarkEnd w:id="555"/>
      <w:bookmarkEnd w:id="556"/>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甲乙双方在履行合同过程中发生纠纷，应及时向有关监督管理部门反映，以便相关部门进行协调或处理，也可以直接向合同签订地人民法院起诉。</w:t>
      </w:r>
    </w:p>
    <w:p>
      <w:pPr>
        <w:pStyle w:val="5"/>
        <w:tabs>
          <w:tab w:val="left" w:pos="0"/>
        </w:tabs>
        <w:adjustRightInd w:val="0"/>
        <w:snapToGrid w:val="0"/>
        <w:spacing w:before="0" w:after="0"/>
        <w:ind w:firstLine="0" w:firstLineChars="0"/>
        <w:jc w:val="left"/>
        <w:rPr>
          <w:rFonts w:hAnsi="宋体"/>
          <w:sz w:val="24"/>
          <w:szCs w:val="24"/>
        </w:rPr>
      </w:pPr>
      <w:bookmarkStart w:id="557" w:name="_Toc7712"/>
      <w:bookmarkStart w:id="558" w:name="_Toc32484"/>
      <w:bookmarkStart w:id="559" w:name="_Toc1361"/>
      <w:bookmarkStart w:id="560" w:name="_Toc15678"/>
      <w:r>
        <w:rPr>
          <w:rFonts w:hint="eastAsia" w:hAnsi="宋体"/>
          <w:sz w:val="24"/>
          <w:szCs w:val="24"/>
        </w:rPr>
        <w:t>十、未尽事宜</w:t>
      </w:r>
      <w:bookmarkEnd w:id="557"/>
      <w:bookmarkEnd w:id="558"/>
      <w:bookmarkEnd w:id="559"/>
      <w:bookmarkEnd w:id="560"/>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本合同其他未尽事宜，按《中华人民共和国民法典》有关规定处理。</w:t>
      </w:r>
    </w:p>
    <w:p>
      <w:pPr>
        <w:pStyle w:val="5"/>
        <w:tabs>
          <w:tab w:val="left" w:pos="0"/>
        </w:tabs>
        <w:adjustRightInd w:val="0"/>
        <w:snapToGrid w:val="0"/>
        <w:spacing w:before="0" w:after="0"/>
        <w:ind w:firstLine="0" w:firstLineChars="0"/>
        <w:jc w:val="left"/>
        <w:rPr>
          <w:rFonts w:hAnsi="宋体"/>
          <w:sz w:val="24"/>
          <w:szCs w:val="24"/>
        </w:rPr>
      </w:pPr>
      <w:bookmarkStart w:id="561" w:name="_Toc18095"/>
      <w:bookmarkStart w:id="562" w:name="_Toc19074"/>
      <w:bookmarkStart w:id="563" w:name="_Toc15558"/>
      <w:bookmarkStart w:id="564" w:name="_Toc8696"/>
      <w:r>
        <w:rPr>
          <w:rFonts w:hint="eastAsia" w:hAnsi="宋体"/>
          <w:sz w:val="24"/>
          <w:szCs w:val="24"/>
        </w:rPr>
        <w:t>十一、合同生效与份数</w:t>
      </w:r>
      <w:bookmarkEnd w:id="561"/>
      <w:bookmarkEnd w:id="562"/>
      <w:bookmarkEnd w:id="563"/>
      <w:bookmarkEnd w:id="564"/>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1.合同自甲乙双方法定代表人或其委托代理人签字、盖章并骑缝之日起生效。</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2.本合同一式</w:t>
      </w:r>
      <w:r>
        <w:rPr>
          <w:rFonts w:hint="eastAsia" w:ascii="宋体" w:hAnsi="宋体" w:cs="宋体"/>
          <w:szCs w:val="21"/>
          <w:u w:val="single"/>
        </w:rPr>
        <w:t xml:space="preserve"> 6 </w:t>
      </w:r>
      <w:r>
        <w:rPr>
          <w:rFonts w:hint="eastAsia" w:ascii="宋体" w:hAnsi="宋体" w:cs="宋体"/>
          <w:szCs w:val="21"/>
        </w:rPr>
        <w:t>份，甲方执</w:t>
      </w:r>
      <w:r>
        <w:rPr>
          <w:rFonts w:hint="eastAsia" w:ascii="宋体" w:hAnsi="宋体" w:cs="宋体"/>
          <w:szCs w:val="21"/>
          <w:u w:val="single"/>
        </w:rPr>
        <w:t xml:space="preserve"> 3 </w:t>
      </w:r>
      <w:r>
        <w:rPr>
          <w:rFonts w:hint="eastAsia" w:ascii="宋体" w:hAnsi="宋体" w:cs="宋体"/>
          <w:szCs w:val="21"/>
        </w:rPr>
        <w:t>份、乙方执</w:t>
      </w:r>
      <w:r>
        <w:rPr>
          <w:rFonts w:hint="eastAsia" w:ascii="宋体" w:hAnsi="宋体" w:cs="宋体"/>
          <w:szCs w:val="21"/>
          <w:u w:val="single"/>
        </w:rPr>
        <w:t xml:space="preserve"> 2 </w:t>
      </w:r>
      <w:r>
        <w:rPr>
          <w:rFonts w:hint="eastAsia" w:ascii="宋体" w:hAnsi="宋体" w:cs="宋体"/>
          <w:szCs w:val="21"/>
        </w:rPr>
        <w:t>份，丙方执</w:t>
      </w:r>
      <w:r>
        <w:rPr>
          <w:rFonts w:hint="eastAsia" w:ascii="宋体" w:hAnsi="宋体" w:cs="宋体"/>
          <w:szCs w:val="21"/>
          <w:u w:val="single"/>
        </w:rPr>
        <w:t xml:space="preserve"> 1 </w:t>
      </w:r>
      <w:r>
        <w:rPr>
          <w:rFonts w:hint="eastAsia" w:ascii="宋体" w:hAnsi="宋体" w:cs="宋体"/>
          <w:szCs w:val="21"/>
        </w:rPr>
        <w:t>份。</w:t>
      </w:r>
    </w:p>
    <w:p>
      <w:pPr>
        <w:pStyle w:val="5"/>
        <w:tabs>
          <w:tab w:val="left" w:pos="0"/>
        </w:tabs>
        <w:adjustRightInd w:val="0"/>
        <w:snapToGrid w:val="0"/>
        <w:spacing w:before="0" w:after="0"/>
        <w:ind w:firstLine="0" w:firstLineChars="0"/>
        <w:jc w:val="left"/>
        <w:rPr>
          <w:rFonts w:hAnsi="宋体"/>
          <w:sz w:val="24"/>
          <w:szCs w:val="24"/>
        </w:rPr>
      </w:pPr>
      <w:bookmarkStart w:id="565" w:name="_Toc5129"/>
      <w:bookmarkStart w:id="566" w:name="_Toc15260"/>
      <w:bookmarkStart w:id="567" w:name="_Toc10116"/>
      <w:bookmarkStart w:id="568" w:name="_Toc11462"/>
      <w:r>
        <w:rPr>
          <w:rFonts w:hint="eastAsia" w:hAnsi="宋体"/>
          <w:sz w:val="24"/>
          <w:szCs w:val="24"/>
        </w:rPr>
        <w:t>十二、本合同不可分割之部分及解释顺序</w:t>
      </w:r>
      <w:bookmarkEnd w:id="565"/>
      <w:bookmarkEnd w:id="566"/>
      <w:bookmarkEnd w:id="567"/>
      <w:bookmarkEnd w:id="568"/>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1.合同书及附件；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2.成交通知书；</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3.成交供应商响应文件及澄清或承诺；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4.竞争性磋商文件。</w:t>
      </w:r>
    </w:p>
    <w:p>
      <w:pPr>
        <w:pStyle w:val="5"/>
        <w:tabs>
          <w:tab w:val="left" w:pos="0"/>
        </w:tabs>
        <w:adjustRightInd w:val="0"/>
        <w:snapToGrid w:val="0"/>
        <w:spacing w:before="0" w:after="0"/>
        <w:ind w:firstLine="0" w:firstLineChars="0"/>
        <w:jc w:val="left"/>
        <w:rPr>
          <w:rFonts w:hAnsi="宋体"/>
          <w:sz w:val="24"/>
          <w:szCs w:val="24"/>
        </w:rPr>
      </w:pPr>
      <w:bookmarkStart w:id="569" w:name="_Toc16041"/>
      <w:bookmarkStart w:id="570" w:name="_Toc12157"/>
      <w:bookmarkStart w:id="571" w:name="_Toc4126"/>
      <w:bookmarkStart w:id="572" w:name="_Toc13548"/>
      <w:r>
        <w:rPr>
          <w:rFonts w:hint="eastAsia" w:hAnsi="宋体"/>
          <w:sz w:val="24"/>
          <w:szCs w:val="24"/>
        </w:rPr>
        <w:t>十三、</w:t>
      </w:r>
      <w:bookmarkEnd w:id="547"/>
      <w:bookmarkEnd w:id="548"/>
      <w:r>
        <w:rPr>
          <w:rFonts w:hint="eastAsia" w:hAnsi="宋体"/>
          <w:sz w:val="24"/>
          <w:szCs w:val="24"/>
        </w:rPr>
        <w:t>附件名称及内容</w:t>
      </w:r>
      <w:bookmarkEnd w:id="569"/>
      <w:bookmarkEnd w:id="570"/>
      <w:bookmarkEnd w:id="571"/>
      <w:bookmarkEnd w:id="572"/>
    </w:p>
    <w:p>
      <w:pPr>
        <w:adjustRightInd w:val="0"/>
        <w:snapToGrid w:val="0"/>
        <w:spacing w:line="360" w:lineRule="auto"/>
        <w:ind w:firstLine="420" w:firstLineChars="200"/>
        <w:rPr>
          <w:rFonts w:ascii="宋体" w:hAnsi="宋体" w:cs="宋体"/>
          <w:szCs w:val="21"/>
          <w:u w:val="single"/>
        </w:rPr>
      </w:pPr>
      <w:r>
        <w:rPr>
          <w:rFonts w:hint="eastAsia" w:ascii="宋体" w:hAnsi="宋体" w:cs="宋体"/>
          <w:szCs w:val="21"/>
          <w:u w:val="single"/>
        </w:rPr>
        <w:t xml:space="preserve"> </w:t>
      </w:r>
      <w:r>
        <w:rPr>
          <w:rFonts w:ascii="宋体" w:hAnsi="宋体" w:cs="宋体"/>
          <w:szCs w:val="21"/>
          <w:u w:val="single"/>
        </w:rPr>
        <w:t xml:space="preserve">                                                                                 </w:t>
      </w:r>
    </w:p>
    <w:p>
      <w:pPr>
        <w:adjustRightInd w:val="0"/>
        <w:snapToGrid w:val="0"/>
        <w:spacing w:line="360" w:lineRule="auto"/>
        <w:ind w:firstLine="422" w:firstLineChars="200"/>
        <w:rPr>
          <w:rFonts w:ascii="宋体" w:hAnsi="宋体" w:cs="宋体"/>
          <w:b/>
          <w:bCs/>
          <w:szCs w:val="21"/>
        </w:rPr>
      </w:pPr>
      <w:r>
        <w:rPr>
          <w:rFonts w:hint="eastAsia" w:ascii="宋体" w:hAnsi="宋体" w:cs="宋体"/>
          <w:b/>
          <w:bCs/>
          <w:szCs w:val="21"/>
        </w:rPr>
        <w:t>（以下无正文）</w:t>
      </w:r>
    </w:p>
    <w:p>
      <w:pPr>
        <w:adjustRightInd w:val="0"/>
        <w:snapToGrid w:val="0"/>
        <w:spacing w:line="360" w:lineRule="auto"/>
        <w:ind w:firstLine="422" w:firstLineChars="200"/>
        <w:rPr>
          <w:rFonts w:ascii="宋体" w:hAnsi="宋体" w:cs="宋体"/>
          <w:b/>
          <w:bCs/>
          <w:szCs w:val="21"/>
        </w:rPr>
      </w:pPr>
    </w:p>
    <w:p>
      <w:pPr>
        <w:adjustRightInd w:val="0"/>
        <w:snapToGrid w:val="0"/>
        <w:spacing w:line="360" w:lineRule="auto"/>
        <w:ind w:firstLine="422" w:firstLineChars="200"/>
        <w:rPr>
          <w:rFonts w:ascii="宋体" w:hAnsi="宋体" w:cs="宋体"/>
          <w:b/>
          <w:bCs/>
          <w:szCs w:val="21"/>
        </w:rPr>
      </w:pPr>
      <w:r>
        <w:rPr>
          <w:rFonts w:hint="eastAsia" w:ascii="宋体" w:hAnsi="宋体" w:cs="宋体"/>
          <w:b/>
          <w:bCs/>
          <w:szCs w:val="21"/>
        </w:rPr>
        <w:t>备注：采购人可根据项目实际情况对合同条款进行调整、修改、补充，正式合同以采购人根据《中华人民共和国民法典》有关规定签订的合同为准，但不能改变合同标的、数量、质量、价款、履行期限、履行地点和方式、违约责任和解决争议方法等实质性内容。</w:t>
      </w:r>
    </w:p>
    <w:p>
      <w:pPr>
        <w:adjustRightInd w:val="0"/>
        <w:snapToGrid w:val="0"/>
        <w:spacing w:line="360" w:lineRule="auto"/>
      </w:pPr>
    </w:p>
    <w:p>
      <w:pPr>
        <w:numPr>
          <w:ilvl w:val="0"/>
          <w:numId w:val="7"/>
        </w:numPr>
        <w:tabs>
          <w:tab w:val="right" w:leader="dot" w:pos="9070"/>
          <w:tab w:val="right" w:leader="dot" w:pos="9498"/>
        </w:tabs>
        <w:adjustRightInd w:val="0"/>
        <w:snapToGrid w:val="0"/>
        <w:spacing w:line="360" w:lineRule="auto"/>
        <w:jc w:val="center"/>
        <w:outlineLvl w:val="0"/>
        <w:rPr>
          <w:rStyle w:val="50"/>
        </w:rPr>
      </w:pPr>
      <w:r>
        <w:rPr>
          <w:rFonts w:hint="eastAsia" w:ascii="宋体" w:hAnsi="宋体"/>
          <w:b/>
          <w:sz w:val="24"/>
        </w:rPr>
        <w:br w:type="page"/>
      </w:r>
      <w:bookmarkStart w:id="573" w:name="_Toc2265"/>
      <w:bookmarkStart w:id="574" w:name="_Toc4868"/>
      <w:bookmarkStart w:id="575" w:name="_Toc26676"/>
      <w:bookmarkStart w:id="576" w:name="_Toc27478"/>
      <w:bookmarkStart w:id="577" w:name="_Toc28696"/>
      <w:r>
        <w:rPr>
          <w:rStyle w:val="50"/>
          <w:rFonts w:hint="eastAsia"/>
        </w:rPr>
        <w:t xml:space="preserve"> 响应文件格式</w:t>
      </w:r>
      <w:bookmarkEnd w:id="573"/>
      <w:bookmarkEnd w:id="574"/>
      <w:bookmarkEnd w:id="575"/>
      <w:bookmarkEnd w:id="576"/>
      <w:bookmarkEnd w:id="577"/>
    </w:p>
    <w:p>
      <w:pPr>
        <w:pStyle w:val="17"/>
        <w:ind w:left="840" w:leftChars="400" w:firstLine="0" w:firstLineChars="0"/>
      </w:pPr>
    </w:p>
    <w:p>
      <w:pPr>
        <w:adjustRightInd w:val="0"/>
        <w:snapToGrid w:val="0"/>
        <w:spacing w:line="360" w:lineRule="auto"/>
        <w:ind w:firstLine="562" w:firstLineChars="200"/>
        <w:jc w:val="center"/>
        <w:rPr>
          <w:rFonts w:ascii="宋体" w:hAnsi="宋体" w:cs="宋体"/>
          <w:b/>
          <w:bCs/>
          <w:color w:val="000000"/>
          <w:sz w:val="28"/>
          <w:szCs w:val="28"/>
        </w:rPr>
      </w:pPr>
    </w:p>
    <w:p>
      <w:pPr>
        <w:adjustRightInd w:val="0"/>
        <w:snapToGrid w:val="0"/>
        <w:spacing w:line="360" w:lineRule="auto"/>
        <w:jc w:val="center"/>
        <w:outlineLvl w:val="1"/>
        <w:rPr>
          <w:rFonts w:ascii="黑体" w:hAnsi="黑体" w:eastAsia="黑体" w:cs="宋体"/>
          <w:b/>
          <w:color w:val="000000"/>
          <w:sz w:val="44"/>
          <w:szCs w:val="44"/>
        </w:rPr>
      </w:pPr>
      <w:r>
        <w:rPr>
          <w:rFonts w:hint="eastAsia" w:ascii="黑体" w:hAnsi="黑体" w:eastAsia="黑体" w:cs="宋体"/>
          <w:b/>
          <w:color w:val="000000"/>
          <w:sz w:val="44"/>
          <w:szCs w:val="44"/>
        </w:rPr>
        <w:t>云南省生态环境监测中心云南省土壤环境信息化管理平台运维项目</w:t>
      </w:r>
    </w:p>
    <w:p>
      <w:pPr>
        <w:adjustRightInd w:val="0"/>
        <w:snapToGrid w:val="0"/>
        <w:spacing w:line="360" w:lineRule="auto"/>
        <w:jc w:val="center"/>
        <w:rPr>
          <w:rFonts w:ascii="宋体" w:hAnsi="宋体" w:cs="宋体"/>
          <w:b/>
          <w:color w:val="000000"/>
          <w:sz w:val="48"/>
          <w:szCs w:val="48"/>
        </w:rPr>
      </w:pPr>
      <w:r>
        <w:rPr>
          <w:rFonts w:hint="eastAsia" w:ascii="宋体" w:hAnsi="宋体" w:cs="宋体"/>
          <w:b/>
          <w:bCs/>
          <w:color w:val="000000"/>
          <w:sz w:val="32"/>
          <w:szCs w:val="32"/>
        </w:rPr>
        <w:t>（项目编号：）</w:t>
      </w:r>
    </w:p>
    <w:p>
      <w:pPr>
        <w:adjustRightInd w:val="0"/>
        <w:snapToGrid w:val="0"/>
        <w:spacing w:line="360" w:lineRule="auto"/>
        <w:ind w:firstLine="561"/>
        <w:jc w:val="center"/>
        <w:rPr>
          <w:rFonts w:ascii="宋体" w:hAnsi="宋体" w:cs="宋体"/>
          <w:b/>
          <w:color w:val="000000"/>
          <w:sz w:val="48"/>
          <w:szCs w:val="48"/>
        </w:rPr>
      </w:pPr>
    </w:p>
    <w:p>
      <w:pPr>
        <w:adjustRightInd w:val="0"/>
        <w:snapToGrid w:val="0"/>
        <w:spacing w:line="360" w:lineRule="auto"/>
        <w:ind w:firstLine="561"/>
        <w:jc w:val="center"/>
        <w:rPr>
          <w:rFonts w:ascii="宋体" w:hAnsi="宋体" w:cs="宋体"/>
          <w:b/>
          <w:color w:val="000000"/>
          <w:sz w:val="48"/>
          <w:szCs w:val="48"/>
        </w:rPr>
      </w:pPr>
    </w:p>
    <w:p>
      <w:pPr>
        <w:adjustRightInd w:val="0"/>
        <w:snapToGrid w:val="0"/>
        <w:spacing w:line="360" w:lineRule="auto"/>
        <w:ind w:firstLine="561"/>
        <w:jc w:val="center"/>
        <w:rPr>
          <w:rFonts w:ascii="宋体" w:hAnsi="宋体" w:cs="宋体"/>
          <w:b/>
          <w:color w:val="000000"/>
          <w:sz w:val="48"/>
          <w:szCs w:val="48"/>
        </w:rPr>
      </w:pPr>
    </w:p>
    <w:p>
      <w:pPr>
        <w:adjustRightInd w:val="0"/>
        <w:snapToGrid w:val="0"/>
        <w:spacing w:line="360" w:lineRule="auto"/>
        <w:jc w:val="center"/>
        <w:rPr>
          <w:rFonts w:ascii="宋体" w:hAnsi="宋体" w:cs="宋体"/>
          <w:b/>
          <w:color w:val="000000"/>
          <w:sz w:val="84"/>
          <w:szCs w:val="84"/>
        </w:rPr>
      </w:pPr>
      <w:r>
        <w:rPr>
          <w:rFonts w:hint="eastAsia" w:ascii="宋体" w:hAnsi="宋体" w:cs="宋体"/>
          <w:b/>
          <w:color w:val="000000"/>
          <w:sz w:val="84"/>
          <w:szCs w:val="84"/>
        </w:rPr>
        <w:t>响应文件</w:t>
      </w:r>
    </w:p>
    <w:p>
      <w:pPr>
        <w:adjustRightInd w:val="0"/>
        <w:snapToGrid w:val="0"/>
        <w:spacing w:line="360" w:lineRule="auto"/>
        <w:jc w:val="center"/>
        <w:rPr>
          <w:rFonts w:ascii="宋体" w:hAnsi="宋体" w:cs="宋体"/>
          <w:color w:val="000000"/>
          <w:szCs w:val="21"/>
        </w:rPr>
      </w:pPr>
    </w:p>
    <w:p>
      <w:pPr>
        <w:adjustRightInd w:val="0"/>
        <w:snapToGrid w:val="0"/>
        <w:spacing w:line="360" w:lineRule="auto"/>
        <w:jc w:val="center"/>
        <w:rPr>
          <w:rFonts w:ascii="宋体" w:hAnsi="宋体" w:cs="宋体"/>
          <w:color w:val="000000"/>
          <w:szCs w:val="21"/>
        </w:rPr>
      </w:pPr>
    </w:p>
    <w:p>
      <w:pPr>
        <w:adjustRightInd w:val="0"/>
        <w:snapToGrid w:val="0"/>
        <w:spacing w:line="360" w:lineRule="auto"/>
        <w:jc w:val="center"/>
        <w:rPr>
          <w:rFonts w:ascii="宋体" w:hAnsi="宋体" w:cs="宋体"/>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ind w:firstLine="480" w:firstLineChars="200"/>
        <w:rPr>
          <w:rFonts w:ascii="宋体" w:hAnsi="宋体" w:cs="宋体"/>
          <w:color w:val="000000"/>
          <w:sz w:val="24"/>
        </w:rPr>
      </w:pPr>
    </w:p>
    <w:p>
      <w:pPr>
        <w:adjustRightInd w:val="0"/>
        <w:snapToGrid w:val="0"/>
        <w:spacing w:line="360" w:lineRule="auto"/>
        <w:ind w:firstLine="480" w:firstLineChars="200"/>
        <w:rPr>
          <w:rFonts w:ascii="宋体" w:hAnsi="宋体" w:cs="宋体"/>
          <w:color w:val="000000"/>
          <w:sz w:val="24"/>
        </w:rPr>
      </w:pPr>
    </w:p>
    <w:p>
      <w:pPr>
        <w:adjustRightInd w:val="0"/>
        <w:snapToGrid w:val="0"/>
        <w:spacing w:line="360" w:lineRule="auto"/>
        <w:jc w:val="center"/>
        <w:rPr>
          <w:rFonts w:ascii="宋体" w:hAnsi="宋体" w:cs="宋体"/>
          <w:b/>
          <w:bCs/>
          <w:color w:val="000000"/>
          <w:sz w:val="30"/>
          <w:szCs w:val="30"/>
        </w:rPr>
      </w:pPr>
      <w:r>
        <w:rPr>
          <w:rFonts w:hint="eastAsia" w:ascii="宋体" w:hAnsi="宋体" w:cs="宋体"/>
          <w:b/>
          <w:bCs/>
          <w:color w:val="000000"/>
          <w:kern w:val="0"/>
          <w:sz w:val="30"/>
          <w:szCs w:val="30"/>
        </w:rPr>
        <w:t>供应商名称</w:t>
      </w:r>
      <w:r>
        <w:rPr>
          <w:rFonts w:hint="eastAsia" w:ascii="宋体" w:hAnsi="宋体" w:cs="宋体"/>
          <w:b/>
          <w:bCs/>
          <w:color w:val="000000"/>
          <w:sz w:val="30"/>
          <w:szCs w:val="30"/>
        </w:rPr>
        <w:t>：</w:t>
      </w:r>
      <w:r>
        <w:rPr>
          <w:rFonts w:hint="eastAsia" w:ascii="宋体" w:hAnsi="宋体" w:cs="宋体"/>
          <w:b/>
          <w:bCs/>
          <w:color w:val="000000"/>
          <w:sz w:val="30"/>
          <w:szCs w:val="30"/>
          <w:u w:val="single"/>
        </w:rPr>
        <w:t xml:space="preserve">                 （电子签章或盖章）</w:t>
      </w:r>
    </w:p>
    <w:p>
      <w:pPr>
        <w:wordWrap w:val="0"/>
        <w:adjustRightInd w:val="0"/>
        <w:snapToGrid w:val="0"/>
        <w:spacing w:line="360" w:lineRule="auto"/>
        <w:jc w:val="center"/>
        <w:rPr>
          <w:rFonts w:ascii="宋体" w:hAnsi="宋体" w:cs="宋体"/>
          <w:b/>
          <w:bCs/>
          <w:color w:val="000000"/>
          <w:sz w:val="30"/>
          <w:szCs w:val="30"/>
        </w:rPr>
      </w:pPr>
      <w:r>
        <w:rPr>
          <w:rFonts w:hint="eastAsia" w:ascii="宋体" w:hAnsi="宋体" w:cs="宋体"/>
          <w:b/>
          <w:bCs/>
          <w:color w:val="000000"/>
          <w:sz w:val="30"/>
          <w:szCs w:val="30"/>
        </w:rPr>
        <w:t>法定代表人或其授权代表：</w:t>
      </w:r>
      <w:r>
        <w:rPr>
          <w:rFonts w:hint="eastAsia" w:ascii="宋体" w:hAnsi="宋体" w:cs="宋体"/>
          <w:b/>
          <w:bCs/>
          <w:color w:val="000000"/>
          <w:sz w:val="30"/>
          <w:szCs w:val="30"/>
          <w:u w:val="single"/>
        </w:rPr>
        <w:t xml:space="preserve">     （电子签章或签字）</w:t>
      </w:r>
    </w:p>
    <w:p>
      <w:pPr>
        <w:adjustRightInd w:val="0"/>
        <w:snapToGrid w:val="0"/>
        <w:spacing w:line="360" w:lineRule="auto"/>
        <w:jc w:val="center"/>
        <w:rPr>
          <w:rFonts w:ascii="宋体" w:hAnsi="宋体" w:cs="宋体"/>
          <w:b/>
          <w:bCs/>
          <w:color w:val="000000"/>
          <w:sz w:val="32"/>
          <w:szCs w:val="32"/>
        </w:rPr>
      </w:pPr>
      <w:r>
        <w:rPr>
          <w:rFonts w:hint="eastAsia" w:ascii="宋体" w:hAnsi="宋体" w:cs="宋体"/>
          <w:b/>
          <w:bCs/>
          <w:color w:val="000000"/>
          <w:sz w:val="30"/>
          <w:szCs w:val="30"/>
        </w:rPr>
        <w:t xml:space="preserve">日     期： </w:t>
      </w:r>
      <w:r>
        <w:rPr>
          <w:rFonts w:hint="eastAsia" w:ascii="宋体" w:hAnsi="宋体" w:cs="宋体"/>
          <w:b/>
          <w:bCs/>
          <w:color w:val="000000"/>
          <w:sz w:val="30"/>
          <w:szCs w:val="30"/>
          <w:u w:val="single"/>
        </w:rPr>
        <w:t xml:space="preserve">     </w:t>
      </w:r>
      <w:r>
        <w:rPr>
          <w:rFonts w:hint="eastAsia" w:ascii="宋体" w:hAnsi="宋体" w:cs="宋体"/>
          <w:b/>
          <w:bCs/>
          <w:color w:val="000000"/>
          <w:sz w:val="30"/>
          <w:szCs w:val="30"/>
        </w:rPr>
        <w:t>年</w:t>
      </w:r>
      <w:r>
        <w:rPr>
          <w:rFonts w:hint="eastAsia" w:ascii="宋体" w:hAnsi="宋体" w:cs="宋体"/>
          <w:b/>
          <w:bCs/>
          <w:color w:val="000000"/>
          <w:sz w:val="30"/>
          <w:szCs w:val="30"/>
          <w:u w:val="single"/>
        </w:rPr>
        <w:t xml:space="preserve">   </w:t>
      </w:r>
      <w:r>
        <w:rPr>
          <w:rFonts w:hint="eastAsia" w:ascii="宋体" w:hAnsi="宋体" w:cs="宋体"/>
          <w:b/>
          <w:bCs/>
          <w:color w:val="000000"/>
          <w:sz w:val="30"/>
          <w:szCs w:val="30"/>
        </w:rPr>
        <w:t>月</w:t>
      </w:r>
      <w:r>
        <w:rPr>
          <w:rFonts w:hint="eastAsia" w:ascii="宋体" w:hAnsi="宋体" w:cs="宋体"/>
          <w:b/>
          <w:bCs/>
          <w:color w:val="000000"/>
          <w:sz w:val="30"/>
          <w:szCs w:val="30"/>
          <w:u w:val="single"/>
        </w:rPr>
        <w:t xml:space="preserve">    </w:t>
      </w:r>
      <w:r>
        <w:rPr>
          <w:rFonts w:hint="eastAsia" w:ascii="宋体" w:hAnsi="宋体" w:cs="宋体"/>
          <w:b/>
          <w:bCs/>
          <w:color w:val="000000"/>
          <w:sz w:val="30"/>
          <w:szCs w:val="30"/>
        </w:rPr>
        <w:t>日</w:t>
      </w:r>
    </w:p>
    <w:p>
      <w:pPr>
        <w:pStyle w:val="4"/>
        <w:keepLines w:val="0"/>
        <w:tabs>
          <w:tab w:val="left" w:pos="420"/>
          <w:tab w:val="left" w:pos="6090"/>
        </w:tabs>
        <w:adjustRightInd w:val="0"/>
        <w:snapToGrid w:val="0"/>
        <w:spacing w:before="0" w:after="0"/>
        <w:textAlignment w:val="baseline"/>
        <w:rPr>
          <w:rFonts w:ascii="宋体" w:hAnsi="宋体" w:cs="宋体"/>
          <w:bCs w:val="0"/>
          <w:color w:val="000000"/>
          <w:sz w:val="28"/>
          <w:szCs w:val="28"/>
        </w:rPr>
      </w:pPr>
      <w:r>
        <w:rPr>
          <w:rFonts w:hint="eastAsia" w:ascii="宋体" w:hAnsi="宋体" w:cs="宋体"/>
          <w:color w:val="000000"/>
        </w:rPr>
        <w:br w:type="page"/>
      </w:r>
      <w:bookmarkStart w:id="578" w:name="_Toc34335332"/>
      <w:bookmarkStart w:id="579" w:name="_Toc25549"/>
      <w:bookmarkStart w:id="580" w:name="_Toc24802"/>
      <w:bookmarkStart w:id="581" w:name="_Toc502909051"/>
      <w:bookmarkStart w:id="582" w:name="_Toc308"/>
      <w:bookmarkStart w:id="583" w:name="_Toc12363"/>
      <w:bookmarkStart w:id="584" w:name="_Toc13444"/>
      <w:bookmarkStart w:id="585" w:name="_Toc383175517"/>
      <w:bookmarkStart w:id="586" w:name="_Toc347849254"/>
      <w:bookmarkStart w:id="587" w:name="_Toc346496609"/>
      <w:bookmarkStart w:id="588" w:name="_Toc415662831"/>
      <w:r>
        <w:rPr>
          <w:rStyle w:val="51"/>
          <w:rFonts w:hint="eastAsia"/>
          <w:b/>
          <w:bCs/>
        </w:rPr>
        <w:t>一、报价一览表</w:t>
      </w:r>
      <w:bookmarkEnd w:id="578"/>
      <w:bookmarkEnd w:id="579"/>
      <w:bookmarkEnd w:id="580"/>
      <w:bookmarkEnd w:id="581"/>
      <w:bookmarkEnd w:id="582"/>
      <w:bookmarkEnd w:id="583"/>
      <w:bookmarkEnd w:id="584"/>
    </w:p>
    <w:p>
      <w:pPr>
        <w:adjustRightInd w:val="0"/>
        <w:snapToGrid w:val="0"/>
        <w:spacing w:line="360" w:lineRule="auto"/>
        <w:jc w:val="left"/>
        <w:rPr>
          <w:rFonts w:ascii="宋体" w:hAnsi="宋体" w:cs="宋体"/>
          <w:bCs/>
          <w:color w:val="000000"/>
          <w:szCs w:val="21"/>
          <w:u w:val="single"/>
        </w:rPr>
      </w:pPr>
      <w:r>
        <w:rPr>
          <w:rFonts w:hint="eastAsia" w:ascii="宋体" w:hAnsi="宋体" w:cs="宋体"/>
          <w:bCs/>
          <w:color w:val="000000"/>
          <w:kern w:val="0"/>
          <w:szCs w:val="21"/>
        </w:rPr>
        <w:t>项目名称：</w:t>
      </w:r>
      <w:r>
        <w:rPr>
          <w:rFonts w:hint="eastAsia" w:ascii="宋体" w:hAnsi="宋体" w:cs="宋体"/>
          <w:bCs/>
          <w:color w:val="000000"/>
          <w:szCs w:val="21"/>
          <w:u w:val="single"/>
        </w:rPr>
        <w:t xml:space="preserve">                 </w:t>
      </w:r>
      <w:r>
        <w:rPr>
          <w:rFonts w:hint="eastAsia" w:ascii="宋体" w:hAnsi="宋体" w:cs="宋体"/>
          <w:bCs/>
          <w:color w:val="000000"/>
          <w:szCs w:val="21"/>
        </w:rPr>
        <w:t xml:space="preserve">                                项目编号：</w:t>
      </w:r>
      <w:r>
        <w:rPr>
          <w:rFonts w:hint="eastAsia" w:ascii="宋体" w:hAnsi="宋体" w:cs="宋体"/>
          <w:bCs/>
          <w:color w:val="000000"/>
          <w:szCs w:val="21"/>
          <w:u w:val="single"/>
        </w:rPr>
        <w:t xml:space="preserve">               </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2355"/>
        <w:gridCol w:w="5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35" w:type="dxa"/>
            <w:vAlign w:val="center"/>
          </w:tcPr>
          <w:p>
            <w:pPr>
              <w:adjustRightInd w:val="0"/>
              <w:snapToGrid w:val="0"/>
              <w:spacing w:line="360" w:lineRule="auto"/>
              <w:jc w:val="center"/>
              <w:rPr>
                <w:bCs/>
                <w:color w:val="000000"/>
                <w:szCs w:val="21"/>
              </w:rPr>
            </w:pPr>
            <w:r>
              <w:rPr>
                <w:rFonts w:hint="eastAsia"/>
                <w:bCs/>
                <w:color w:val="000000"/>
                <w:szCs w:val="21"/>
              </w:rPr>
              <w:t>序号</w:t>
            </w:r>
          </w:p>
        </w:tc>
        <w:tc>
          <w:tcPr>
            <w:tcW w:w="2355" w:type="dxa"/>
            <w:vAlign w:val="center"/>
          </w:tcPr>
          <w:p>
            <w:pPr>
              <w:adjustRightInd w:val="0"/>
              <w:snapToGrid w:val="0"/>
              <w:spacing w:line="360" w:lineRule="auto"/>
              <w:jc w:val="center"/>
              <w:rPr>
                <w:bCs/>
                <w:color w:val="000000"/>
                <w:szCs w:val="21"/>
              </w:rPr>
            </w:pPr>
            <w:r>
              <w:rPr>
                <w:rFonts w:hint="eastAsia"/>
                <w:bCs/>
                <w:color w:val="000000"/>
                <w:szCs w:val="21"/>
              </w:rPr>
              <w:t>项目</w:t>
            </w:r>
          </w:p>
        </w:tc>
        <w:tc>
          <w:tcPr>
            <w:tcW w:w="5864" w:type="dxa"/>
            <w:vAlign w:val="center"/>
          </w:tcPr>
          <w:p>
            <w:pPr>
              <w:adjustRightInd w:val="0"/>
              <w:snapToGrid w:val="0"/>
              <w:spacing w:line="360" w:lineRule="auto"/>
              <w:jc w:val="center"/>
              <w:rPr>
                <w:bCs/>
                <w:color w:val="000000"/>
                <w:szCs w:val="21"/>
              </w:rPr>
            </w:pPr>
            <w:r>
              <w:rPr>
                <w:rFonts w:hint="eastAsia"/>
                <w:bCs/>
                <w:color w:val="000000"/>
                <w:szCs w:val="21"/>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935" w:type="dxa"/>
            <w:vAlign w:val="center"/>
          </w:tcPr>
          <w:p>
            <w:pPr>
              <w:adjustRightInd w:val="0"/>
              <w:snapToGrid w:val="0"/>
              <w:spacing w:line="360" w:lineRule="auto"/>
              <w:jc w:val="center"/>
              <w:rPr>
                <w:bCs/>
                <w:color w:val="000000"/>
                <w:szCs w:val="21"/>
              </w:rPr>
            </w:pPr>
            <w:r>
              <w:rPr>
                <w:bCs/>
                <w:color w:val="000000"/>
                <w:szCs w:val="21"/>
              </w:rPr>
              <w:t>1</w:t>
            </w:r>
          </w:p>
        </w:tc>
        <w:tc>
          <w:tcPr>
            <w:tcW w:w="2355" w:type="dxa"/>
            <w:vAlign w:val="center"/>
          </w:tcPr>
          <w:p>
            <w:pPr>
              <w:adjustRightInd w:val="0"/>
              <w:snapToGrid w:val="0"/>
              <w:spacing w:line="360" w:lineRule="auto"/>
              <w:jc w:val="center"/>
              <w:rPr>
                <w:rFonts w:ascii="宋体" w:hAnsi="宋体"/>
                <w:bCs/>
                <w:color w:val="000000"/>
                <w:szCs w:val="21"/>
              </w:rPr>
            </w:pPr>
            <w:r>
              <w:rPr>
                <w:rFonts w:hint="eastAsia" w:ascii="宋体" w:hAnsi="宋体"/>
                <w:bCs/>
                <w:color w:val="000000"/>
                <w:szCs w:val="21"/>
              </w:rPr>
              <w:t>响应报价</w:t>
            </w:r>
          </w:p>
          <w:p>
            <w:pPr>
              <w:adjustRightInd w:val="0"/>
              <w:snapToGrid w:val="0"/>
              <w:spacing w:line="360" w:lineRule="auto"/>
              <w:jc w:val="center"/>
              <w:rPr>
                <w:bCs/>
                <w:color w:val="000000"/>
                <w:szCs w:val="21"/>
              </w:rPr>
            </w:pPr>
            <w:r>
              <w:rPr>
                <w:rFonts w:hint="eastAsia" w:ascii="宋体" w:hAnsi="宋体"/>
                <w:bCs/>
                <w:color w:val="000000"/>
                <w:szCs w:val="21"/>
              </w:rPr>
              <w:t>（元）</w:t>
            </w:r>
          </w:p>
        </w:tc>
        <w:tc>
          <w:tcPr>
            <w:tcW w:w="5864" w:type="dxa"/>
            <w:vAlign w:val="center"/>
          </w:tcPr>
          <w:p>
            <w:pPr>
              <w:adjustRightInd w:val="0"/>
              <w:snapToGrid w:val="0"/>
              <w:spacing w:line="360" w:lineRule="auto"/>
              <w:jc w:val="left"/>
              <w:rPr>
                <w:rFonts w:ascii="宋体" w:hAnsi="宋体"/>
                <w:szCs w:val="21"/>
              </w:rPr>
            </w:pPr>
            <w:r>
              <w:rPr>
                <w:rFonts w:hint="eastAsia" w:ascii="宋体" w:hAnsi="宋体"/>
                <w:szCs w:val="21"/>
              </w:rPr>
              <w:t>小写：¥</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hint="eastAsia" w:ascii="宋体" w:hAnsi="宋体"/>
                <w:szCs w:val="21"/>
              </w:rPr>
              <w:t>元</w:t>
            </w:r>
          </w:p>
          <w:p>
            <w:pPr>
              <w:adjustRightInd w:val="0"/>
              <w:snapToGrid w:val="0"/>
              <w:spacing w:line="360" w:lineRule="auto"/>
              <w:jc w:val="left"/>
              <w:rPr>
                <w:color w:val="000000"/>
                <w:szCs w:val="21"/>
                <w:u w:val="single"/>
              </w:rPr>
            </w:pPr>
            <w:r>
              <w:rPr>
                <w:rFonts w:hint="eastAsia" w:ascii="宋体" w:hAnsi="宋体"/>
                <w:szCs w:val="21"/>
              </w:rPr>
              <w:t xml:space="preserve">大写： </w:t>
            </w:r>
            <w:r>
              <w:rPr>
                <w:rFonts w:ascii="宋体" w:hAnsi="宋体"/>
                <w:color w:val="000000"/>
                <w:szCs w:val="21"/>
                <w:u w:val="single"/>
              </w:rPr>
              <w:t xml:space="preserve">      </w:t>
            </w:r>
            <w:r>
              <w:rPr>
                <w:rFonts w:hint="eastAsia" w:ascii="宋体" w:hAnsi="宋体"/>
                <w:color w:val="000000"/>
                <w:szCs w:val="21"/>
                <w:u w:val="single"/>
              </w:rPr>
              <w:t xml:space="preserve">    </w:t>
            </w:r>
            <w:r>
              <w:rPr>
                <w:rFonts w:ascii="宋体" w:hAnsi="宋体"/>
                <w:color w:val="000000"/>
                <w:szCs w:val="21"/>
                <w:u w:val="single"/>
              </w:rPr>
              <w:t xml:space="preserve">        </w:t>
            </w:r>
            <w:r>
              <w:rPr>
                <w:rFonts w:ascii="宋体"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35" w:type="dxa"/>
            <w:vAlign w:val="center"/>
          </w:tcPr>
          <w:p>
            <w:pPr>
              <w:adjustRightInd w:val="0"/>
              <w:snapToGrid w:val="0"/>
              <w:spacing w:line="360" w:lineRule="auto"/>
              <w:jc w:val="center"/>
              <w:rPr>
                <w:bCs/>
                <w:color w:val="000000"/>
                <w:szCs w:val="21"/>
              </w:rPr>
            </w:pPr>
            <w:r>
              <w:rPr>
                <w:bCs/>
                <w:color w:val="000000"/>
                <w:szCs w:val="21"/>
              </w:rPr>
              <w:t>2</w:t>
            </w:r>
          </w:p>
        </w:tc>
        <w:tc>
          <w:tcPr>
            <w:tcW w:w="2355" w:type="dxa"/>
            <w:vAlign w:val="center"/>
          </w:tcPr>
          <w:p>
            <w:pPr>
              <w:adjustRightInd w:val="0"/>
              <w:snapToGrid w:val="0"/>
              <w:spacing w:line="360" w:lineRule="auto"/>
              <w:jc w:val="center"/>
              <w:rPr>
                <w:bCs/>
                <w:color w:val="000000"/>
                <w:szCs w:val="21"/>
              </w:rPr>
            </w:pPr>
            <w:r>
              <w:rPr>
                <w:rFonts w:hint="eastAsia"/>
                <w:bCs/>
                <w:color w:val="000000"/>
                <w:szCs w:val="21"/>
              </w:rPr>
              <w:t>服务标准</w:t>
            </w:r>
          </w:p>
        </w:tc>
        <w:tc>
          <w:tcPr>
            <w:tcW w:w="5864" w:type="dxa"/>
            <w:vAlign w:val="center"/>
          </w:tcPr>
          <w:p>
            <w:pPr>
              <w:adjustRightInd w:val="0"/>
              <w:snapToGrid w:val="0"/>
              <w:spacing w:line="360" w:lineRule="auto"/>
              <w:jc w:val="left"/>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35" w:type="dxa"/>
            <w:vAlign w:val="center"/>
          </w:tcPr>
          <w:p>
            <w:pPr>
              <w:adjustRightInd w:val="0"/>
              <w:snapToGrid w:val="0"/>
              <w:spacing w:line="360" w:lineRule="auto"/>
              <w:jc w:val="center"/>
              <w:rPr>
                <w:bCs/>
                <w:color w:val="000000"/>
                <w:szCs w:val="21"/>
              </w:rPr>
            </w:pPr>
            <w:r>
              <w:rPr>
                <w:rFonts w:hint="eastAsia"/>
                <w:bCs/>
                <w:color w:val="000000"/>
                <w:szCs w:val="21"/>
              </w:rPr>
              <w:t>3</w:t>
            </w:r>
          </w:p>
        </w:tc>
        <w:tc>
          <w:tcPr>
            <w:tcW w:w="2355" w:type="dxa"/>
            <w:vAlign w:val="center"/>
          </w:tcPr>
          <w:p>
            <w:pPr>
              <w:adjustRightInd w:val="0"/>
              <w:snapToGrid w:val="0"/>
              <w:spacing w:line="360" w:lineRule="auto"/>
              <w:jc w:val="center"/>
              <w:rPr>
                <w:bCs/>
                <w:color w:val="000000"/>
                <w:szCs w:val="21"/>
              </w:rPr>
            </w:pPr>
            <w:r>
              <w:rPr>
                <w:rFonts w:hint="eastAsia" w:ascii="宋体" w:hAnsi="宋体" w:cs="宋体"/>
                <w:color w:val="000000"/>
                <w:szCs w:val="21"/>
              </w:rPr>
              <w:t>服务地点</w:t>
            </w:r>
          </w:p>
        </w:tc>
        <w:tc>
          <w:tcPr>
            <w:tcW w:w="5864" w:type="dxa"/>
            <w:vAlign w:val="center"/>
          </w:tcPr>
          <w:p>
            <w:pPr>
              <w:adjustRightInd w:val="0"/>
              <w:snapToGrid w:val="0"/>
              <w:spacing w:line="360" w:lineRule="auto"/>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935" w:type="dxa"/>
            <w:vAlign w:val="center"/>
          </w:tcPr>
          <w:p>
            <w:pPr>
              <w:adjustRightInd w:val="0"/>
              <w:snapToGrid w:val="0"/>
              <w:spacing w:line="360" w:lineRule="auto"/>
              <w:jc w:val="center"/>
              <w:rPr>
                <w:bCs/>
                <w:color w:val="000000"/>
                <w:szCs w:val="21"/>
              </w:rPr>
            </w:pPr>
            <w:r>
              <w:rPr>
                <w:rFonts w:hint="eastAsia"/>
                <w:bCs/>
                <w:color w:val="000000"/>
                <w:szCs w:val="21"/>
              </w:rPr>
              <w:t>4</w:t>
            </w:r>
          </w:p>
        </w:tc>
        <w:tc>
          <w:tcPr>
            <w:tcW w:w="2355" w:type="dxa"/>
            <w:vAlign w:val="center"/>
          </w:tcPr>
          <w:p>
            <w:pPr>
              <w:adjustRightInd w:val="0"/>
              <w:snapToGrid w:val="0"/>
              <w:spacing w:line="360" w:lineRule="auto"/>
              <w:jc w:val="center"/>
              <w:rPr>
                <w:bCs/>
                <w:color w:val="000000"/>
                <w:szCs w:val="21"/>
              </w:rPr>
            </w:pPr>
            <w:r>
              <w:rPr>
                <w:rFonts w:hint="eastAsia" w:ascii="宋体" w:hAnsi="宋体" w:cs="宋体"/>
                <w:color w:val="000000"/>
                <w:szCs w:val="21"/>
              </w:rPr>
              <w:t>合同履行期限</w:t>
            </w:r>
          </w:p>
        </w:tc>
        <w:tc>
          <w:tcPr>
            <w:tcW w:w="5864" w:type="dxa"/>
            <w:vAlign w:val="center"/>
          </w:tcPr>
          <w:p>
            <w:pPr>
              <w:adjustRightInd w:val="0"/>
              <w:snapToGrid w:val="0"/>
              <w:spacing w:line="360" w:lineRule="auto"/>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935" w:type="dxa"/>
            <w:vAlign w:val="center"/>
          </w:tcPr>
          <w:p>
            <w:pPr>
              <w:adjustRightInd w:val="0"/>
              <w:snapToGrid w:val="0"/>
              <w:spacing w:line="360" w:lineRule="auto"/>
              <w:jc w:val="center"/>
              <w:rPr>
                <w:bCs/>
                <w:color w:val="000000"/>
                <w:szCs w:val="21"/>
              </w:rPr>
            </w:pPr>
            <w:r>
              <w:rPr>
                <w:rFonts w:hint="eastAsia"/>
                <w:bCs/>
                <w:color w:val="000000"/>
                <w:szCs w:val="21"/>
              </w:rPr>
              <w:t>5</w:t>
            </w:r>
          </w:p>
        </w:tc>
        <w:tc>
          <w:tcPr>
            <w:tcW w:w="2355" w:type="dxa"/>
            <w:vAlign w:val="center"/>
          </w:tcPr>
          <w:p>
            <w:pPr>
              <w:adjustRightInd w:val="0"/>
              <w:snapToGrid w:val="0"/>
              <w:spacing w:line="360" w:lineRule="auto"/>
              <w:jc w:val="center"/>
              <w:rPr>
                <w:bCs/>
                <w:color w:val="000000"/>
                <w:szCs w:val="21"/>
              </w:rPr>
            </w:pPr>
            <w:r>
              <w:rPr>
                <w:rFonts w:hint="eastAsia"/>
                <w:bCs/>
                <w:color w:val="000000"/>
                <w:szCs w:val="21"/>
              </w:rPr>
              <w:t>备注</w:t>
            </w:r>
          </w:p>
        </w:tc>
        <w:tc>
          <w:tcPr>
            <w:tcW w:w="5864" w:type="dxa"/>
            <w:vAlign w:val="center"/>
          </w:tcPr>
          <w:p>
            <w:pPr>
              <w:adjustRightInd w:val="0"/>
              <w:snapToGrid w:val="0"/>
              <w:spacing w:line="360" w:lineRule="auto"/>
              <w:jc w:val="center"/>
              <w:rPr>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9154" w:type="dxa"/>
            <w:gridSpan w:val="3"/>
            <w:vAlign w:val="bottom"/>
          </w:tcPr>
          <w:p>
            <w:pPr>
              <w:pStyle w:val="20"/>
              <w:snapToGrid w:val="0"/>
              <w:spacing w:line="360" w:lineRule="auto"/>
              <w:jc w:val="both"/>
              <w:rPr>
                <w:rFonts w:hAnsi="宋体" w:cs="宋体"/>
                <w:color w:val="000000"/>
                <w:u w:val="single"/>
              </w:rPr>
            </w:pPr>
            <w:r>
              <w:rPr>
                <w:rFonts w:hint="eastAsia" w:hAnsi="宋体" w:cs="宋体"/>
                <w:color w:val="000000"/>
              </w:rPr>
              <w:t>供应商名称（电子签章或盖章）：</w:t>
            </w:r>
            <w:r>
              <w:rPr>
                <w:rFonts w:hint="eastAsia" w:hAnsi="宋体" w:cs="宋体"/>
                <w:color w:val="000000"/>
                <w:u w:val="single"/>
              </w:rPr>
              <w:t xml:space="preserve">                            </w:t>
            </w:r>
          </w:p>
          <w:p>
            <w:pPr>
              <w:pStyle w:val="20"/>
              <w:snapToGrid w:val="0"/>
              <w:spacing w:line="360" w:lineRule="auto"/>
              <w:jc w:val="both"/>
              <w:rPr>
                <w:rFonts w:hAnsi="宋体" w:cs="宋体"/>
                <w:color w:val="000000"/>
              </w:rPr>
            </w:pPr>
            <w:r>
              <w:rPr>
                <w:rFonts w:hint="eastAsia" w:hAnsi="宋体" w:cs="宋体"/>
                <w:color w:val="000000"/>
              </w:rPr>
              <w:t>法定代表人或其授权代表（电子签章或签字）：</w:t>
            </w:r>
            <w:r>
              <w:rPr>
                <w:rFonts w:hint="eastAsia" w:hAnsi="宋体" w:cs="宋体"/>
                <w:color w:val="000000"/>
                <w:u w:val="single"/>
              </w:rPr>
              <w:t xml:space="preserve">                </w:t>
            </w:r>
          </w:p>
          <w:p>
            <w:pPr>
              <w:adjustRightInd w:val="0"/>
              <w:snapToGrid w:val="0"/>
              <w:spacing w:line="360" w:lineRule="auto"/>
              <w:rPr>
                <w:rFonts w:ascii="宋体" w:hAnsi="宋体" w:cs="宋体"/>
                <w:b/>
                <w:color w:val="000000"/>
                <w:szCs w:val="21"/>
              </w:rPr>
            </w:pPr>
            <w:r>
              <w:rPr>
                <w:rFonts w:hint="eastAsia" w:ascii="宋体" w:hAnsi="宋体" w:cs="宋体"/>
                <w:color w:val="000000"/>
                <w:szCs w:val="21"/>
              </w:rPr>
              <w:t>日 期：</w:t>
            </w:r>
            <w:r>
              <w:rPr>
                <w:rFonts w:hint="eastAsia" w:ascii="宋体" w:hAnsi="宋体" w:cs="宋体"/>
                <w:color w:val="000000"/>
                <w:szCs w:val="21"/>
                <w:u w:val="single"/>
              </w:rPr>
              <w:t xml:space="preserve">                    </w:t>
            </w:r>
          </w:p>
        </w:tc>
      </w:tr>
    </w:tbl>
    <w:p>
      <w:pPr>
        <w:adjustRightInd w:val="0"/>
        <w:snapToGrid w:val="0"/>
        <w:spacing w:line="360" w:lineRule="auto"/>
        <w:rPr>
          <w:rFonts w:ascii="宋体" w:hAnsi="宋体" w:cs="宋体"/>
          <w:color w:val="000000"/>
          <w:kern w:val="0"/>
          <w:szCs w:val="21"/>
        </w:rPr>
      </w:pPr>
      <w:r>
        <w:rPr>
          <w:rFonts w:hint="eastAsia" w:ascii="宋体" w:hAnsi="宋体" w:cs="宋体"/>
          <w:color w:val="000000"/>
          <w:kern w:val="0"/>
          <w:szCs w:val="21"/>
        </w:rPr>
        <w:t>说明：此报价一览表，供应商应放在磋商响应文件封面后第一页；</w:t>
      </w:r>
    </w:p>
    <w:p>
      <w:pPr>
        <w:pStyle w:val="4"/>
        <w:keepLines w:val="0"/>
        <w:tabs>
          <w:tab w:val="left" w:pos="420"/>
          <w:tab w:val="left" w:pos="6090"/>
        </w:tabs>
        <w:adjustRightInd w:val="0"/>
        <w:snapToGrid w:val="0"/>
        <w:spacing w:before="0" w:after="0"/>
        <w:textAlignment w:val="baseline"/>
        <w:rPr>
          <w:rFonts w:ascii="宋体" w:hAnsi="宋体" w:cs="宋体"/>
          <w:color w:val="000000"/>
          <w:sz w:val="28"/>
          <w:szCs w:val="28"/>
        </w:rPr>
      </w:pPr>
      <w:r>
        <w:rPr>
          <w:rFonts w:hint="eastAsia" w:ascii="宋体" w:hAnsi="宋体" w:cs="宋体"/>
          <w:color w:val="000000"/>
        </w:rPr>
        <w:br w:type="page"/>
      </w:r>
      <w:bookmarkStart w:id="589" w:name="_Toc10253"/>
      <w:bookmarkStart w:id="590" w:name="_Toc2931"/>
      <w:bookmarkStart w:id="591" w:name="_Toc347849248"/>
      <w:bookmarkStart w:id="592" w:name="_Toc383175510"/>
      <w:bookmarkStart w:id="593" w:name="_Toc28799"/>
      <w:bookmarkStart w:id="594" w:name="_Toc502909053"/>
      <w:bookmarkStart w:id="595" w:name="_Toc34335333"/>
      <w:bookmarkStart w:id="596" w:name="_Toc415662825"/>
      <w:bookmarkStart w:id="597" w:name="_Toc20565"/>
      <w:bookmarkStart w:id="598" w:name="_Toc27787"/>
      <w:r>
        <w:rPr>
          <w:rFonts w:hint="eastAsia" w:ascii="宋体" w:hAnsi="宋体" w:cs="宋体"/>
          <w:color w:val="000000"/>
        </w:rPr>
        <w:t>二、资格证明文件</w:t>
      </w:r>
      <w:bookmarkEnd w:id="589"/>
      <w:bookmarkEnd w:id="590"/>
      <w:bookmarkEnd w:id="591"/>
      <w:bookmarkEnd w:id="592"/>
      <w:bookmarkEnd w:id="593"/>
      <w:bookmarkEnd w:id="594"/>
      <w:bookmarkEnd w:id="595"/>
      <w:bookmarkEnd w:id="596"/>
      <w:bookmarkEnd w:id="597"/>
      <w:bookmarkEnd w:id="598"/>
    </w:p>
    <w:p>
      <w:pPr>
        <w:adjustRightInd w:val="0"/>
        <w:snapToGrid w:val="0"/>
        <w:spacing w:line="360" w:lineRule="auto"/>
        <w:ind w:firstLine="420" w:firstLineChars="200"/>
        <w:rPr>
          <w:rFonts w:ascii="宋体" w:hAnsi="宋体" w:cs="宋体"/>
          <w:color w:val="000000"/>
          <w:szCs w:val="21"/>
        </w:rPr>
      </w:pPr>
      <w:bookmarkStart w:id="599" w:name="_Hlk478977109"/>
      <w:r>
        <w:rPr>
          <w:rFonts w:hint="eastAsia" w:ascii="宋体" w:hAnsi="宋体" w:cs="宋体"/>
          <w:color w:val="000000"/>
          <w:szCs w:val="21"/>
        </w:rPr>
        <w:t>以下材料应满足本项目对供应商资格要求，提供的材料不能证明其符合供应商资格要求的，</w:t>
      </w:r>
      <w:r>
        <w:rPr>
          <w:rFonts w:hint="eastAsia" w:ascii="宋体" w:hAnsi="宋体" w:cs="宋体"/>
          <w:b/>
          <w:color w:val="000000"/>
          <w:szCs w:val="21"/>
        </w:rPr>
        <w:t>其响应文件无效。</w:t>
      </w:r>
      <w:r>
        <w:rPr>
          <w:rFonts w:hint="eastAsia" w:ascii="宋体" w:hAnsi="宋体" w:cs="宋体"/>
          <w:color w:val="000000"/>
          <w:szCs w:val="21"/>
        </w:rPr>
        <w:t>未明确要求提供原件的可提供扫描件。</w:t>
      </w:r>
      <w:bookmarkEnd w:id="599"/>
    </w:p>
    <w:p>
      <w:pPr>
        <w:adjustRightInd w:val="0"/>
        <w:snapToGrid w:val="0"/>
        <w:spacing w:line="360" w:lineRule="auto"/>
        <w:ind w:firstLine="422" w:firstLineChars="200"/>
        <w:rPr>
          <w:rFonts w:ascii="宋体" w:hAnsi="宋体" w:cs="宋体"/>
          <w:b/>
          <w:color w:val="000000"/>
          <w:szCs w:val="21"/>
        </w:rPr>
      </w:pPr>
    </w:p>
    <w:p>
      <w:pPr>
        <w:adjustRightInd w:val="0"/>
        <w:snapToGrid w:val="0"/>
        <w:spacing w:line="360" w:lineRule="auto"/>
        <w:ind w:firstLine="422" w:firstLineChars="200"/>
        <w:jc w:val="center"/>
        <w:outlineLvl w:val="1"/>
        <w:rPr>
          <w:rFonts w:ascii="宋体" w:hAnsi="宋体" w:cs="宋体"/>
          <w:b/>
          <w:color w:val="000000"/>
          <w:szCs w:val="21"/>
        </w:rPr>
      </w:pPr>
      <w:bookmarkStart w:id="600" w:name="_Toc31904"/>
      <w:bookmarkStart w:id="601" w:name="_Toc5765"/>
      <w:bookmarkStart w:id="602" w:name="_Toc24153"/>
      <w:r>
        <w:rPr>
          <w:rFonts w:hint="eastAsia" w:ascii="宋体" w:hAnsi="宋体" w:cs="宋体"/>
          <w:b/>
          <w:color w:val="000000"/>
          <w:szCs w:val="21"/>
        </w:rPr>
        <w:t>2.满足《中华人民共和国政府采购法》第二十二条规定</w:t>
      </w:r>
      <w:bookmarkEnd w:id="600"/>
      <w:bookmarkEnd w:id="601"/>
      <w:bookmarkEnd w:id="602"/>
    </w:p>
    <w:p>
      <w:pPr>
        <w:tabs>
          <w:tab w:val="left" w:pos="720"/>
          <w:tab w:val="left" w:pos="8295"/>
        </w:tabs>
        <w:adjustRightInd w:val="0"/>
        <w:snapToGrid w:val="0"/>
        <w:spacing w:line="360" w:lineRule="auto"/>
        <w:ind w:firstLine="422" w:firstLineChars="200"/>
        <w:jc w:val="center"/>
        <w:rPr>
          <w:rFonts w:ascii="宋体" w:hAnsi="宋体" w:cs="宋体"/>
          <w:b/>
          <w:bCs/>
          <w:color w:val="000000"/>
          <w:szCs w:val="21"/>
        </w:rPr>
      </w:pPr>
      <w:r>
        <w:rPr>
          <w:rFonts w:hint="eastAsia" w:ascii="宋体" w:hAnsi="宋体" w:cs="宋体"/>
          <w:b/>
          <w:color w:val="000000"/>
          <w:szCs w:val="21"/>
        </w:rPr>
        <w:t>2.1</w:t>
      </w:r>
      <w:r>
        <w:rPr>
          <w:rFonts w:hint="eastAsia" w:ascii="宋体" w:hAnsi="宋体" w:cs="宋体"/>
          <w:b/>
          <w:bCs/>
          <w:color w:val="000000"/>
          <w:szCs w:val="21"/>
        </w:rPr>
        <w:t>具有独立承担民事责任的能力</w:t>
      </w:r>
    </w:p>
    <w:p>
      <w:pPr>
        <w:tabs>
          <w:tab w:val="left" w:pos="720"/>
          <w:tab w:val="left" w:pos="8295"/>
        </w:tabs>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供应商须具有独立承担民事责任的能力，在中华人民共和国境内登记或注册，供应商为法人、其他组织或者自然人。（提供市场监督管理部门核发的有效的多证合一营业执照或民办非企业登记证书或社会团体登记证或自然人身份证明，提供原件扫描件）</w:t>
      </w:r>
    </w:p>
    <w:p>
      <w:pPr>
        <w:tabs>
          <w:tab w:val="left" w:pos="720"/>
          <w:tab w:val="left" w:pos="8295"/>
        </w:tabs>
        <w:adjustRightInd w:val="0"/>
        <w:snapToGrid w:val="0"/>
        <w:spacing w:line="360" w:lineRule="auto"/>
        <w:ind w:firstLine="420" w:firstLineChars="200"/>
        <w:jc w:val="left"/>
        <w:rPr>
          <w:rFonts w:ascii="宋体" w:hAnsi="宋体" w:cs="宋体"/>
          <w:color w:val="000000"/>
          <w:szCs w:val="21"/>
        </w:rPr>
      </w:pPr>
    </w:p>
    <w:p>
      <w:pPr>
        <w:tabs>
          <w:tab w:val="left" w:pos="720"/>
          <w:tab w:val="left" w:pos="8295"/>
        </w:tabs>
        <w:adjustRightInd w:val="0"/>
        <w:snapToGrid w:val="0"/>
        <w:spacing w:line="360" w:lineRule="auto"/>
        <w:ind w:firstLine="420" w:firstLineChars="200"/>
        <w:jc w:val="center"/>
        <w:rPr>
          <w:rFonts w:ascii="宋体" w:hAnsi="宋体" w:cs="宋体"/>
          <w:b/>
          <w:color w:val="000000"/>
          <w:szCs w:val="21"/>
        </w:rPr>
      </w:pPr>
      <w:r>
        <w:rPr>
          <w:rFonts w:ascii="宋体" w:hAnsi="宋体" w:cs="宋体"/>
          <w:color w:val="000000"/>
          <w:szCs w:val="21"/>
        </w:rPr>
        <w:br w:type="page"/>
      </w:r>
      <w:r>
        <w:rPr>
          <w:rFonts w:hint="eastAsia" w:ascii="宋体" w:hAnsi="宋体" w:cs="宋体"/>
          <w:b/>
          <w:color w:val="000000"/>
          <w:szCs w:val="21"/>
        </w:rPr>
        <w:t>2.2具有良好的商业信誉和健全的财务会计制度</w:t>
      </w:r>
    </w:p>
    <w:p>
      <w:pPr>
        <w:adjustRightInd w:val="0"/>
        <w:snapToGrid w:val="0"/>
        <w:spacing w:line="360" w:lineRule="auto"/>
        <w:ind w:firstLine="409" w:firstLineChars="195"/>
        <w:rPr>
          <w:rFonts w:ascii="宋体" w:hAnsi="宋体" w:cs="宋体"/>
          <w:color w:val="000000"/>
          <w:szCs w:val="21"/>
        </w:rPr>
      </w:pPr>
      <w:r>
        <w:rPr>
          <w:rFonts w:hint="eastAsia" w:ascii="宋体" w:hAnsi="宋体" w:cs="宋体"/>
          <w:color w:val="000000"/>
          <w:szCs w:val="21"/>
        </w:rPr>
        <w:t>2.2.1根据《财政部关于在政府采购活动中查询及使用信用记录有关问题的通知-财库〔2016〕125号》相关要求，对被“信用中国”网站（www.creditchina.gov.cn）列入失信被执行人、重大税收违法失信主体、政府采购严重违法失信行为记录名单、国家企业信用信息公示系统（http://www.gsxt.gov.cn/）严重违法失信名单及中国政府采购网（www.ccgp.gov.cn）“政府采购严重违法失信行为信息记录”其中之一的供应商拒绝其参与本次政府采购活动。</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2.2.2供应商须提供2021年至2023年任意一年经第三方审计的财务报告及报表（报表至少应包括资产负债表、利润表（损益表）、现金流量表）(注：2023年成立的供应商提供情况说明即可，格式自拟)；或可提供自响应文件提交截止时间前十二个月内开户银行出具的资信证明或可提供财政部门认可的政府采购专业担保机构对供应商进行资信审查后出具的投标担保函。（备注：供应商可根据自身情况提供上述任意一种证明材料)。（提供原件扫描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注：根据《关于加强审计报告查验工作的通知》（财会〔2023〕15号）规定，在2022年10月以后出具的审计报告应赋予全国统一的验证码；供应商若为事业单位的，则不需提供利润表/损益表；供应商是其他组织的，提供自响应文件提交截止时间前三个月内开户银行出具的资信证明】。</w:t>
      </w:r>
    </w:p>
    <w:p>
      <w:pPr>
        <w:tabs>
          <w:tab w:val="left" w:pos="720"/>
          <w:tab w:val="left" w:pos="8295"/>
        </w:tabs>
        <w:adjustRightInd w:val="0"/>
        <w:snapToGrid w:val="0"/>
        <w:spacing w:line="360" w:lineRule="auto"/>
        <w:ind w:firstLine="420" w:firstLineChars="200"/>
        <w:jc w:val="center"/>
        <w:rPr>
          <w:rFonts w:ascii="宋体" w:hAnsi="宋体" w:cs="宋体"/>
          <w:b/>
          <w:color w:val="000000"/>
          <w:szCs w:val="21"/>
        </w:rPr>
      </w:pPr>
      <w:r>
        <w:rPr>
          <w:rFonts w:ascii="宋体" w:hAnsi="宋体" w:cs="宋体"/>
          <w:color w:val="000000"/>
          <w:szCs w:val="21"/>
        </w:rPr>
        <w:br w:type="page"/>
      </w:r>
      <w:r>
        <w:rPr>
          <w:rFonts w:hint="eastAsia" w:ascii="宋体" w:hAnsi="宋体" w:cs="宋体"/>
          <w:b/>
          <w:color w:val="000000"/>
          <w:szCs w:val="21"/>
        </w:rPr>
        <w:t>2.3具有履行合同所必需的设备和专业技术能力</w:t>
      </w:r>
    </w:p>
    <w:p>
      <w:pPr>
        <w:adjustRightInd w:val="0"/>
        <w:snapToGrid w:val="0"/>
        <w:spacing w:line="360" w:lineRule="auto"/>
        <w:ind w:firstLine="420" w:firstLineChars="200"/>
        <w:rPr>
          <w:rFonts w:ascii="宋体" w:hAnsi="宋体" w:cs="宋体"/>
          <w:b/>
          <w:bCs/>
          <w:szCs w:val="21"/>
        </w:rPr>
      </w:pPr>
      <w:r>
        <w:rPr>
          <w:rFonts w:hint="eastAsia" w:ascii="宋体" w:hAnsi="宋体" w:cs="宋体"/>
          <w:color w:val="000000"/>
          <w:szCs w:val="21"/>
        </w:rPr>
        <w:t>供应商须提供具有履行合同所必需的设备和专业技术能力证明材料或承诺书。</w:t>
      </w:r>
      <w:r>
        <w:rPr>
          <w:rFonts w:hint="eastAsia" w:ascii="宋体" w:hAnsi="宋体" w:cs="宋体"/>
          <w:b/>
          <w:bCs/>
          <w:szCs w:val="21"/>
        </w:rPr>
        <w:t>（提供证明材料扫描件或承诺书原件扫描件，承诺书格式如下）</w:t>
      </w:r>
    </w:p>
    <w:p>
      <w:pPr>
        <w:adjustRightInd w:val="0"/>
        <w:snapToGrid w:val="0"/>
        <w:spacing w:line="360" w:lineRule="auto"/>
        <w:ind w:firstLine="426"/>
        <w:jc w:val="center"/>
        <w:rPr>
          <w:b/>
          <w:bCs/>
          <w:spacing w:val="1"/>
          <w:szCs w:val="21"/>
        </w:rPr>
      </w:pPr>
    </w:p>
    <w:p>
      <w:pPr>
        <w:adjustRightInd w:val="0"/>
        <w:snapToGrid w:val="0"/>
        <w:spacing w:line="360" w:lineRule="auto"/>
        <w:ind w:firstLine="426"/>
        <w:jc w:val="center"/>
        <w:rPr>
          <w:b/>
          <w:bCs/>
          <w:spacing w:val="1"/>
          <w:szCs w:val="21"/>
        </w:rPr>
      </w:pPr>
    </w:p>
    <w:p>
      <w:pPr>
        <w:adjustRightInd w:val="0"/>
        <w:snapToGrid w:val="0"/>
        <w:spacing w:line="360" w:lineRule="auto"/>
        <w:ind w:firstLine="426"/>
        <w:jc w:val="center"/>
        <w:rPr>
          <w:b/>
          <w:bCs/>
          <w:spacing w:val="1"/>
          <w:szCs w:val="21"/>
        </w:rPr>
      </w:pPr>
      <w:r>
        <w:rPr>
          <w:rFonts w:hint="eastAsia"/>
          <w:b/>
          <w:bCs/>
          <w:spacing w:val="1"/>
          <w:szCs w:val="21"/>
        </w:rPr>
        <w:t>承诺书</w:t>
      </w:r>
    </w:p>
    <w:p>
      <w:pPr>
        <w:adjustRightInd w:val="0"/>
        <w:snapToGrid w:val="0"/>
        <w:spacing w:line="360" w:lineRule="auto"/>
        <w:ind w:firstLine="420"/>
        <w:rPr>
          <w:szCs w:val="21"/>
        </w:rPr>
      </w:pPr>
    </w:p>
    <w:p>
      <w:pPr>
        <w:adjustRightInd w:val="0"/>
        <w:snapToGrid w:val="0"/>
        <w:spacing w:line="360" w:lineRule="auto"/>
        <w:rPr>
          <w:szCs w:val="21"/>
        </w:rPr>
      </w:pPr>
      <w:r>
        <w:rPr>
          <w:rFonts w:hint="eastAsia"/>
          <w:szCs w:val="21"/>
        </w:rPr>
        <w:t>致</w:t>
      </w:r>
      <w:r>
        <w:rPr>
          <w:rFonts w:hint="eastAsia"/>
          <w:szCs w:val="21"/>
          <w:u w:val="single"/>
        </w:rPr>
        <w:t xml:space="preserve">       </w:t>
      </w:r>
      <w:r>
        <w:rPr>
          <w:rFonts w:hint="eastAsia"/>
          <w:szCs w:val="21"/>
        </w:rPr>
        <w:t>（采购人）：</w:t>
      </w:r>
    </w:p>
    <w:p>
      <w:pPr>
        <w:adjustRightInd w:val="0"/>
        <w:snapToGrid w:val="0"/>
        <w:spacing w:line="360" w:lineRule="auto"/>
        <w:ind w:firstLine="426"/>
        <w:rPr>
          <w:b/>
          <w:bCs/>
          <w:spacing w:val="1"/>
          <w:szCs w:val="21"/>
        </w:rPr>
      </w:pPr>
    </w:p>
    <w:p>
      <w:pPr>
        <w:adjustRightInd w:val="0"/>
        <w:snapToGrid w:val="0"/>
        <w:spacing w:line="360" w:lineRule="auto"/>
        <w:ind w:firstLine="420"/>
        <w:rPr>
          <w:szCs w:val="21"/>
        </w:rPr>
      </w:pPr>
      <w:r>
        <w:rPr>
          <w:rFonts w:hint="eastAsia"/>
          <w:szCs w:val="21"/>
        </w:rPr>
        <w:t>我公司参与</w:t>
      </w:r>
      <w:r>
        <w:rPr>
          <w:rFonts w:hint="eastAsia"/>
          <w:szCs w:val="21"/>
          <w:u w:val="single"/>
        </w:rPr>
        <w:t xml:space="preserve">        </w:t>
      </w:r>
      <w:r>
        <w:rPr>
          <w:rFonts w:hint="eastAsia"/>
          <w:szCs w:val="21"/>
        </w:rPr>
        <w:t>（项目名称）竞争性磋商，我公司郑重承诺，</w:t>
      </w:r>
      <w:r>
        <w:rPr>
          <w:rFonts w:hint="eastAsia"/>
          <w:color w:val="000000"/>
          <w:szCs w:val="21"/>
        </w:rPr>
        <w:t>具有履行合同所必需的设备和专业技术能力</w:t>
      </w:r>
      <w:r>
        <w:rPr>
          <w:rFonts w:hint="eastAsia"/>
          <w:szCs w:val="21"/>
        </w:rPr>
        <w:t>。</w:t>
      </w:r>
    </w:p>
    <w:p>
      <w:pPr>
        <w:adjustRightInd w:val="0"/>
        <w:snapToGrid w:val="0"/>
        <w:spacing w:line="360" w:lineRule="auto"/>
        <w:ind w:firstLine="404"/>
        <w:rPr>
          <w:spacing w:val="-4"/>
          <w:szCs w:val="21"/>
        </w:rPr>
      </w:pPr>
    </w:p>
    <w:p>
      <w:pPr>
        <w:adjustRightInd w:val="0"/>
        <w:snapToGrid w:val="0"/>
        <w:spacing w:line="360" w:lineRule="auto"/>
        <w:ind w:firstLine="420"/>
        <w:rPr>
          <w:szCs w:val="21"/>
        </w:rPr>
      </w:pPr>
      <w:r>
        <w:rPr>
          <w:rFonts w:hint="eastAsia"/>
          <w:szCs w:val="21"/>
        </w:rPr>
        <w:t>特此声明。</w:t>
      </w:r>
    </w:p>
    <w:p>
      <w:pPr>
        <w:pStyle w:val="20"/>
        <w:snapToGrid w:val="0"/>
        <w:spacing w:line="360" w:lineRule="auto"/>
        <w:ind w:firstLine="420"/>
        <w:rPr>
          <w:rFonts w:ascii="仿宋" w:hAnsi="仿宋" w:cs="仿宋"/>
          <w:color w:val="000000"/>
        </w:rPr>
      </w:pPr>
    </w:p>
    <w:p>
      <w:pPr>
        <w:adjustRightInd w:val="0"/>
        <w:snapToGrid w:val="0"/>
        <w:spacing w:line="360" w:lineRule="auto"/>
        <w:ind w:firstLine="420"/>
        <w:rPr>
          <w:szCs w:val="21"/>
        </w:rPr>
      </w:pP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供应商名称</w:t>
      </w:r>
      <w:r>
        <w:rPr>
          <w:rFonts w:hint="eastAsia"/>
          <w:color w:val="000000"/>
        </w:rPr>
        <w:t>（</w:t>
      </w:r>
      <w:r>
        <w:rPr>
          <w:rFonts w:hint="eastAsia" w:hAnsi="宋体" w:cs="宋体"/>
          <w:color w:val="000000"/>
        </w:rPr>
        <w:t>电子签章或盖章</w:t>
      </w:r>
      <w:r>
        <w:rPr>
          <w:rFonts w:hint="eastAsia"/>
          <w:color w:val="000000"/>
        </w:rPr>
        <w:t>）</w:t>
      </w:r>
      <w:r>
        <w:rPr>
          <w:rFonts w:hint="eastAsia" w:ascii="仿宋" w:hAnsi="仿宋" w:cs="仿宋"/>
          <w:color w:val="000000"/>
        </w:rPr>
        <w:t>：</w:t>
      </w:r>
      <w:r>
        <w:rPr>
          <w:rFonts w:hint="eastAsia" w:ascii="仿宋" w:hAnsi="仿宋" w:cs="仿宋"/>
          <w:color w:val="000000"/>
          <w:u w:val="single"/>
        </w:rPr>
        <w:t xml:space="preserve">                       </w:t>
      </w:r>
    </w:p>
    <w:p>
      <w:pPr>
        <w:pStyle w:val="20"/>
        <w:snapToGrid w:val="0"/>
        <w:spacing w:line="360" w:lineRule="auto"/>
        <w:ind w:firstLine="420" w:firstLineChars="200"/>
        <w:rPr>
          <w:rFonts w:ascii="仿宋" w:hAnsi="仿宋" w:cs="仿宋"/>
          <w:color w:val="000000"/>
          <w:u w:val="single"/>
        </w:rPr>
      </w:pPr>
      <w:r>
        <w:rPr>
          <w:rFonts w:hint="eastAsia" w:ascii="仿宋" w:hAnsi="仿宋" w:cs="仿宋"/>
          <w:color w:val="000000"/>
        </w:rPr>
        <w:t>法定代表人或其授权代表（电子签章或签字）：</w:t>
      </w:r>
      <w:r>
        <w:rPr>
          <w:rFonts w:hint="eastAsia" w:ascii="仿宋" w:hAnsi="仿宋" w:cs="仿宋"/>
          <w:color w:val="000000"/>
          <w:u w:val="single"/>
        </w:rPr>
        <w:t xml:space="preserve">                       </w:t>
      </w: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 xml:space="preserve">日期：     年     月    日 </w:t>
      </w:r>
    </w:p>
    <w:p>
      <w:pPr>
        <w:tabs>
          <w:tab w:val="left" w:pos="720"/>
          <w:tab w:val="left" w:pos="8295"/>
        </w:tabs>
        <w:adjustRightInd w:val="0"/>
        <w:snapToGrid w:val="0"/>
        <w:spacing w:line="360" w:lineRule="auto"/>
        <w:ind w:firstLine="420" w:firstLineChars="200"/>
        <w:jc w:val="center"/>
        <w:rPr>
          <w:rFonts w:ascii="宋体" w:hAnsi="宋体" w:cs="宋体"/>
          <w:b/>
          <w:color w:val="000000"/>
          <w:szCs w:val="21"/>
        </w:rPr>
      </w:pPr>
      <w:r>
        <w:rPr>
          <w:rFonts w:ascii="宋体" w:hAnsi="宋体" w:cs="宋体"/>
          <w:color w:val="000000"/>
          <w:szCs w:val="21"/>
        </w:rPr>
        <w:br w:type="page"/>
      </w:r>
      <w:r>
        <w:rPr>
          <w:rFonts w:hint="eastAsia" w:ascii="宋体" w:hAnsi="宋体" w:cs="宋体"/>
          <w:b/>
          <w:color w:val="000000"/>
          <w:szCs w:val="21"/>
        </w:rPr>
        <w:t>2.4有依法缴纳税收和社会保障资金的良好记录</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2.4.1供应商须提供缴税所属时间在2023年1月至今任意3个月的税务局税收通用缴款书或银行电子缴税（费）凭证或税务局出具纳税情况的相关证明</w:t>
      </w:r>
      <w:r>
        <w:rPr>
          <w:rFonts w:hint="eastAsia" w:ascii="宋体" w:hAnsi="宋体" w:cs="宋体"/>
          <w:kern w:val="0"/>
          <w:szCs w:val="21"/>
        </w:rPr>
        <w:t>；依法免税的，应提供依法免税的相关证明文件</w:t>
      </w:r>
      <w:r>
        <w:rPr>
          <w:rFonts w:hint="eastAsia" w:ascii="宋体" w:hAnsi="宋体" w:cs="宋体"/>
          <w:szCs w:val="21"/>
        </w:rPr>
        <w:t>；若公司成立不足3</w:t>
      </w:r>
      <w:r>
        <w:rPr>
          <w:rFonts w:ascii="宋体" w:hAnsi="宋体" w:cs="宋体"/>
          <w:szCs w:val="21"/>
        </w:rPr>
        <w:t>个月的，提供相关内容情况说明或证明材料。</w:t>
      </w:r>
      <w:r>
        <w:rPr>
          <w:rFonts w:hint="eastAsia" w:ascii="宋体" w:hAnsi="宋体" w:cs="宋体"/>
          <w:b/>
          <w:bCs/>
        </w:rPr>
        <w:t>（提供扫描件）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2.4.2供应商须提供缴费所属时间在2023年1月至今任意3个月的社会保险费缴款书或银行电子缴税（费）凭证或社保管理部门出具的有效的缴款证明</w:t>
      </w:r>
      <w:r>
        <w:rPr>
          <w:rFonts w:hint="eastAsia" w:ascii="宋体" w:hAnsi="宋体" w:cs="宋体"/>
          <w:kern w:val="0"/>
          <w:szCs w:val="21"/>
        </w:rPr>
        <w:t>；依法免缴的，应提供依法免缴的相关证明文件</w:t>
      </w:r>
      <w:r>
        <w:rPr>
          <w:rFonts w:hint="eastAsia" w:ascii="宋体" w:hAnsi="宋体" w:cs="宋体"/>
          <w:szCs w:val="21"/>
        </w:rPr>
        <w:t>；若公司成立不足3</w:t>
      </w:r>
      <w:r>
        <w:rPr>
          <w:rFonts w:ascii="宋体" w:hAnsi="宋体" w:cs="宋体"/>
          <w:szCs w:val="21"/>
        </w:rPr>
        <w:t>个月的，提供相关内容情况说明或证明材料。</w:t>
      </w:r>
      <w:r>
        <w:rPr>
          <w:rFonts w:hint="eastAsia" w:ascii="宋体" w:hAnsi="宋体" w:cs="宋体"/>
          <w:b/>
          <w:bCs/>
        </w:rPr>
        <w:t>（提供扫描件）</w:t>
      </w:r>
    </w:p>
    <w:p>
      <w:pPr>
        <w:tabs>
          <w:tab w:val="left" w:pos="720"/>
          <w:tab w:val="left" w:pos="8295"/>
        </w:tabs>
        <w:adjustRightInd w:val="0"/>
        <w:snapToGrid w:val="0"/>
        <w:spacing w:line="360" w:lineRule="auto"/>
        <w:ind w:firstLine="420" w:firstLineChars="200"/>
        <w:jc w:val="center"/>
        <w:rPr>
          <w:rFonts w:ascii="宋体" w:hAnsi="宋体" w:cs="宋体"/>
          <w:b/>
          <w:color w:val="000000"/>
          <w:szCs w:val="21"/>
        </w:rPr>
      </w:pPr>
      <w:r>
        <w:rPr>
          <w:rFonts w:ascii="宋体" w:hAnsi="宋体" w:cs="宋体"/>
          <w:color w:val="000000"/>
          <w:szCs w:val="21"/>
        </w:rPr>
        <w:br w:type="page"/>
      </w:r>
      <w:r>
        <w:rPr>
          <w:rFonts w:hint="eastAsia" w:ascii="宋体" w:hAnsi="宋体" w:cs="宋体"/>
          <w:b/>
          <w:color w:val="000000"/>
          <w:szCs w:val="21"/>
        </w:rPr>
        <w:t>2.5参加政府采购活动前三年内，在经营活动中没有重大违法记录</w:t>
      </w:r>
    </w:p>
    <w:p>
      <w:pPr>
        <w:adjustRightInd w:val="0"/>
        <w:snapToGrid w:val="0"/>
        <w:spacing w:line="360" w:lineRule="auto"/>
        <w:ind w:firstLine="420" w:firstLineChars="200"/>
        <w:rPr>
          <w:rFonts w:ascii="宋体" w:hAnsi="宋体" w:cs="宋体"/>
          <w:b/>
          <w:bCs/>
          <w:szCs w:val="21"/>
        </w:rPr>
      </w:pPr>
      <w:r>
        <w:rPr>
          <w:rFonts w:hint="eastAsia" w:ascii="宋体" w:hAnsi="宋体" w:cs="宋体"/>
          <w:color w:val="000000"/>
          <w:szCs w:val="21"/>
        </w:rPr>
        <w:t>重大违法记录，是指供应商因违法经营受到刑事处罚或者责令停产停业、吊销许可证或者执照、较大数额罚款等行政处罚。</w:t>
      </w:r>
      <w:r>
        <w:rPr>
          <w:rFonts w:hint="eastAsia" w:ascii="宋体" w:hAnsi="宋体" w:cs="宋体"/>
          <w:b/>
          <w:bCs/>
          <w:szCs w:val="21"/>
        </w:rPr>
        <w:t>（提供书面声明、格式如下）</w:t>
      </w:r>
    </w:p>
    <w:p>
      <w:pPr>
        <w:adjustRightInd w:val="0"/>
        <w:snapToGrid w:val="0"/>
        <w:spacing w:line="360" w:lineRule="auto"/>
        <w:ind w:firstLine="406"/>
        <w:jc w:val="center"/>
        <w:rPr>
          <w:b/>
          <w:bCs/>
          <w:spacing w:val="-4"/>
          <w:szCs w:val="21"/>
        </w:rPr>
      </w:pPr>
    </w:p>
    <w:p>
      <w:pPr>
        <w:adjustRightInd w:val="0"/>
        <w:snapToGrid w:val="0"/>
        <w:spacing w:line="360" w:lineRule="auto"/>
        <w:ind w:firstLine="406"/>
        <w:jc w:val="center"/>
        <w:rPr>
          <w:b/>
          <w:bCs/>
          <w:spacing w:val="-4"/>
          <w:szCs w:val="21"/>
        </w:rPr>
      </w:pPr>
    </w:p>
    <w:p>
      <w:pPr>
        <w:adjustRightInd w:val="0"/>
        <w:snapToGrid w:val="0"/>
        <w:spacing w:line="360" w:lineRule="auto"/>
        <w:ind w:firstLine="406"/>
        <w:jc w:val="center"/>
        <w:rPr>
          <w:b/>
          <w:bCs/>
          <w:spacing w:val="1"/>
          <w:szCs w:val="21"/>
        </w:rPr>
      </w:pPr>
      <w:r>
        <w:rPr>
          <w:rFonts w:hint="eastAsia"/>
          <w:b/>
          <w:bCs/>
          <w:spacing w:val="-4"/>
          <w:szCs w:val="21"/>
        </w:rPr>
        <w:t>无重大违法记录的</w:t>
      </w:r>
      <w:r>
        <w:rPr>
          <w:rFonts w:hint="eastAsia"/>
          <w:b/>
          <w:bCs/>
          <w:spacing w:val="1"/>
          <w:szCs w:val="21"/>
        </w:rPr>
        <w:t>书面声明</w:t>
      </w:r>
    </w:p>
    <w:p>
      <w:pPr>
        <w:adjustRightInd w:val="0"/>
        <w:snapToGrid w:val="0"/>
        <w:spacing w:line="360" w:lineRule="auto"/>
        <w:ind w:firstLine="420"/>
        <w:rPr>
          <w:szCs w:val="21"/>
        </w:rPr>
      </w:pPr>
    </w:p>
    <w:p>
      <w:pPr>
        <w:adjustRightInd w:val="0"/>
        <w:snapToGrid w:val="0"/>
        <w:spacing w:line="360" w:lineRule="auto"/>
        <w:rPr>
          <w:szCs w:val="21"/>
        </w:rPr>
      </w:pPr>
      <w:r>
        <w:rPr>
          <w:rFonts w:hint="eastAsia"/>
          <w:szCs w:val="21"/>
        </w:rPr>
        <w:t>致</w:t>
      </w:r>
      <w:r>
        <w:rPr>
          <w:rFonts w:hint="eastAsia"/>
          <w:szCs w:val="21"/>
          <w:u w:val="single"/>
        </w:rPr>
        <w:t xml:space="preserve">                </w:t>
      </w:r>
      <w:r>
        <w:rPr>
          <w:rFonts w:hint="eastAsia"/>
          <w:szCs w:val="21"/>
        </w:rPr>
        <w:t>（采购人）：</w:t>
      </w:r>
    </w:p>
    <w:p>
      <w:pPr>
        <w:adjustRightInd w:val="0"/>
        <w:snapToGrid w:val="0"/>
        <w:spacing w:line="360" w:lineRule="auto"/>
        <w:ind w:firstLine="426"/>
        <w:rPr>
          <w:b/>
          <w:bCs/>
          <w:spacing w:val="1"/>
          <w:szCs w:val="21"/>
        </w:rPr>
      </w:pPr>
    </w:p>
    <w:p>
      <w:pPr>
        <w:tabs>
          <w:tab w:val="left" w:pos="5580"/>
        </w:tabs>
        <w:adjustRightInd w:val="0"/>
        <w:snapToGrid w:val="0"/>
        <w:spacing w:line="360" w:lineRule="auto"/>
        <w:ind w:firstLine="420"/>
        <w:rPr>
          <w:szCs w:val="21"/>
        </w:rPr>
      </w:pPr>
      <w:r>
        <w:rPr>
          <w:rFonts w:hint="eastAsia"/>
          <w:szCs w:val="21"/>
        </w:rPr>
        <w:t>我公司郑重承诺在参加政府采购活动前三年（2021年01月至今）内，在经营活动中无重大违法记录</w:t>
      </w:r>
      <w:r>
        <w:rPr>
          <w:rFonts w:hint="eastAsia" w:ascii="宋体" w:hAnsi="宋体" w:cs="宋体"/>
          <w:color w:val="000000"/>
          <w:szCs w:val="21"/>
        </w:rPr>
        <w:t>（重大违法记录是指因违法经营受到刑事处罚或者责令停产停业、吊销许可证或者执照、较大数额罚款等行政处罚）</w:t>
      </w:r>
      <w:r>
        <w:rPr>
          <w:rFonts w:hint="eastAsia"/>
          <w:szCs w:val="21"/>
        </w:rPr>
        <w:t>。</w:t>
      </w:r>
    </w:p>
    <w:p>
      <w:pPr>
        <w:adjustRightInd w:val="0"/>
        <w:snapToGrid w:val="0"/>
        <w:spacing w:line="360" w:lineRule="auto"/>
        <w:ind w:firstLine="404"/>
        <w:rPr>
          <w:spacing w:val="-4"/>
          <w:szCs w:val="21"/>
        </w:rPr>
      </w:pPr>
    </w:p>
    <w:p>
      <w:pPr>
        <w:adjustRightInd w:val="0"/>
        <w:snapToGrid w:val="0"/>
        <w:spacing w:line="360" w:lineRule="auto"/>
        <w:ind w:firstLine="420"/>
        <w:rPr>
          <w:szCs w:val="21"/>
        </w:rPr>
      </w:pPr>
      <w:r>
        <w:rPr>
          <w:rFonts w:hint="eastAsia"/>
          <w:szCs w:val="21"/>
        </w:rPr>
        <w:t>特此声明。</w:t>
      </w:r>
    </w:p>
    <w:p>
      <w:pPr>
        <w:adjustRightInd w:val="0"/>
        <w:snapToGrid w:val="0"/>
        <w:spacing w:line="360" w:lineRule="auto"/>
        <w:ind w:firstLine="404"/>
        <w:rPr>
          <w:spacing w:val="-4"/>
          <w:szCs w:val="21"/>
        </w:rPr>
      </w:pP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供应商名称</w:t>
      </w:r>
      <w:r>
        <w:rPr>
          <w:rFonts w:hint="eastAsia"/>
          <w:color w:val="000000"/>
        </w:rPr>
        <w:t>（</w:t>
      </w:r>
      <w:r>
        <w:rPr>
          <w:rFonts w:hint="eastAsia" w:hAnsi="宋体" w:cs="宋体"/>
          <w:color w:val="000000"/>
        </w:rPr>
        <w:t>电子签章或盖章</w:t>
      </w:r>
      <w:r>
        <w:rPr>
          <w:rFonts w:hint="eastAsia"/>
          <w:color w:val="000000"/>
        </w:rPr>
        <w:t>）</w:t>
      </w:r>
      <w:r>
        <w:rPr>
          <w:rFonts w:hint="eastAsia" w:ascii="仿宋" w:hAnsi="仿宋" w:cs="仿宋"/>
          <w:color w:val="000000"/>
        </w:rPr>
        <w:t>：</w:t>
      </w:r>
      <w:r>
        <w:rPr>
          <w:rFonts w:hint="eastAsia" w:ascii="仿宋" w:hAnsi="仿宋" w:cs="仿宋"/>
          <w:color w:val="000000"/>
          <w:u w:val="single"/>
        </w:rPr>
        <w:t xml:space="preserve">                       </w:t>
      </w:r>
    </w:p>
    <w:p>
      <w:pPr>
        <w:pStyle w:val="20"/>
        <w:snapToGrid w:val="0"/>
        <w:spacing w:line="360" w:lineRule="auto"/>
        <w:ind w:firstLine="420" w:firstLineChars="200"/>
        <w:rPr>
          <w:rFonts w:ascii="仿宋" w:hAnsi="仿宋" w:cs="仿宋"/>
          <w:color w:val="000000"/>
          <w:u w:val="single"/>
        </w:rPr>
      </w:pPr>
      <w:r>
        <w:rPr>
          <w:rFonts w:hint="eastAsia" w:ascii="仿宋" w:hAnsi="仿宋" w:cs="仿宋"/>
          <w:color w:val="000000"/>
        </w:rPr>
        <w:t>法定代表人或其授权代表（电子签章或签字）：</w:t>
      </w:r>
      <w:r>
        <w:rPr>
          <w:rFonts w:hint="eastAsia" w:ascii="仿宋" w:hAnsi="仿宋" w:cs="仿宋"/>
          <w:color w:val="000000"/>
          <w:u w:val="single"/>
        </w:rPr>
        <w:t xml:space="preserve">                       </w:t>
      </w: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 xml:space="preserve">日期：     年     月    日 </w:t>
      </w:r>
    </w:p>
    <w:p>
      <w:pPr>
        <w:adjustRightInd w:val="0"/>
        <w:snapToGrid w:val="0"/>
        <w:spacing w:line="360" w:lineRule="auto"/>
        <w:ind w:firstLine="420" w:firstLineChars="200"/>
        <w:rPr>
          <w:rFonts w:ascii="宋体" w:hAnsi="宋体" w:cs="宋体"/>
          <w:color w:val="000000"/>
          <w:szCs w:val="21"/>
        </w:rPr>
      </w:pPr>
    </w:p>
    <w:p>
      <w:pPr>
        <w:tabs>
          <w:tab w:val="left" w:pos="720"/>
          <w:tab w:val="left" w:pos="8295"/>
        </w:tabs>
        <w:adjustRightInd w:val="0"/>
        <w:snapToGrid w:val="0"/>
        <w:spacing w:line="360" w:lineRule="auto"/>
        <w:ind w:firstLine="420" w:firstLineChars="200"/>
        <w:jc w:val="center"/>
        <w:rPr>
          <w:rFonts w:ascii="宋体" w:hAnsi="宋体" w:cs="宋体"/>
          <w:b/>
          <w:color w:val="000000"/>
          <w:szCs w:val="21"/>
        </w:rPr>
      </w:pPr>
      <w:r>
        <w:rPr>
          <w:rFonts w:ascii="宋体" w:hAnsi="宋体" w:cs="宋体"/>
          <w:color w:val="000000"/>
          <w:szCs w:val="21"/>
        </w:rPr>
        <w:br w:type="page"/>
      </w:r>
      <w:r>
        <w:rPr>
          <w:rFonts w:hint="eastAsia" w:ascii="宋体" w:hAnsi="宋体" w:cs="宋体"/>
          <w:b/>
          <w:color w:val="000000"/>
          <w:szCs w:val="21"/>
        </w:rPr>
        <w:t>2.6法律、行政法规规定的其他条件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1.6.1法定代表人或单位负责人为同一人或者存在直接控股、管理关系的不同供应商，不得同时参加本项目的磋商；</w:t>
      </w:r>
      <w:r>
        <w:rPr>
          <w:rFonts w:hint="eastAsia" w:ascii="宋体" w:hAnsi="宋体" w:cs="宋体"/>
          <w:b/>
          <w:bCs/>
          <w:szCs w:val="21"/>
        </w:rPr>
        <w:t>（提供承诺书、格式如下）</w:t>
      </w:r>
    </w:p>
    <w:p>
      <w:pPr>
        <w:adjustRightInd w:val="0"/>
        <w:snapToGrid w:val="0"/>
        <w:spacing w:line="360" w:lineRule="auto"/>
        <w:ind w:firstLine="420" w:firstLineChars="200"/>
        <w:jc w:val="left"/>
        <w:rPr>
          <w:rFonts w:ascii="宋体" w:hAnsi="宋体" w:cs="宋体"/>
          <w:b/>
          <w:bCs/>
          <w:szCs w:val="21"/>
        </w:rPr>
      </w:pPr>
      <w:r>
        <w:rPr>
          <w:rFonts w:hint="eastAsia" w:ascii="宋体" w:hAnsi="宋体" w:cs="宋体"/>
          <w:color w:val="000000"/>
          <w:szCs w:val="21"/>
        </w:rPr>
        <w:t>1.6.2为本项目提供整体设计、规范编制或者项目管理、监理、检测等服务的供应商不得参与本项目磋商。</w:t>
      </w:r>
      <w:r>
        <w:rPr>
          <w:rFonts w:hint="eastAsia" w:ascii="宋体" w:hAnsi="宋体" w:cs="宋体"/>
          <w:b/>
          <w:bCs/>
          <w:szCs w:val="21"/>
        </w:rPr>
        <w:t>（提供承诺书、格式如下）</w:t>
      </w:r>
    </w:p>
    <w:p>
      <w:pPr>
        <w:adjustRightInd w:val="0"/>
        <w:snapToGrid w:val="0"/>
        <w:spacing w:line="360" w:lineRule="auto"/>
        <w:ind w:firstLine="422"/>
        <w:jc w:val="center"/>
        <w:rPr>
          <w:b/>
          <w:bCs/>
          <w:szCs w:val="21"/>
        </w:rPr>
      </w:pPr>
    </w:p>
    <w:p>
      <w:pPr>
        <w:adjustRightInd w:val="0"/>
        <w:snapToGrid w:val="0"/>
        <w:spacing w:line="360" w:lineRule="auto"/>
        <w:ind w:firstLine="422"/>
        <w:jc w:val="center"/>
        <w:rPr>
          <w:b/>
          <w:bCs/>
          <w:szCs w:val="21"/>
        </w:rPr>
      </w:pPr>
    </w:p>
    <w:p>
      <w:pPr>
        <w:adjustRightInd w:val="0"/>
        <w:snapToGrid w:val="0"/>
        <w:spacing w:line="360" w:lineRule="auto"/>
        <w:ind w:firstLine="422"/>
        <w:jc w:val="center"/>
        <w:rPr>
          <w:b/>
          <w:bCs/>
          <w:szCs w:val="21"/>
        </w:rPr>
      </w:pPr>
      <w:r>
        <w:rPr>
          <w:rFonts w:hint="eastAsia"/>
          <w:b/>
          <w:bCs/>
          <w:szCs w:val="21"/>
        </w:rPr>
        <w:t>承诺书</w:t>
      </w:r>
    </w:p>
    <w:p>
      <w:pPr>
        <w:adjustRightInd w:val="0"/>
        <w:snapToGrid w:val="0"/>
        <w:spacing w:line="360" w:lineRule="auto"/>
        <w:rPr>
          <w:szCs w:val="21"/>
          <w:u w:val="single"/>
          <w:shd w:val="clear" w:color="auto" w:fill="FFFFFF"/>
        </w:rPr>
      </w:pPr>
      <w:r>
        <w:rPr>
          <w:rFonts w:hint="eastAsia"/>
          <w:szCs w:val="21"/>
          <w:shd w:val="clear" w:color="auto" w:fill="FFFFFF"/>
        </w:rPr>
        <w:t>致：</w:t>
      </w:r>
      <w:r>
        <w:rPr>
          <w:rFonts w:hint="eastAsia"/>
          <w:szCs w:val="21"/>
          <w:u w:val="single"/>
          <w:shd w:val="clear" w:color="auto" w:fill="FFFFFF"/>
        </w:rPr>
        <w:t>（采购人名称）</w:t>
      </w:r>
    </w:p>
    <w:p>
      <w:pPr>
        <w:adjustRightInd w:val="0"/>
        <w:snapToGrid w:val="0"/>
        <w:spacing w:line="360" w:lineRule="auto"/>
        <w:ind w:firstLine="420"/>
        <w:rPr>
          <w:szCs w:val="21"/>
        </w:rPr>
      </w:pPr>
      <w:r>
        <w:rPr>
          <w:rFonts w:hint="eastAsia"/>
          <w:szCs w:val="21"/>
        </w:rPr>
        <w:t>我公司郑重承诺：</w:t>
      </w:r>
    </w:p>
    <w:p>
      <w:pPr>
        <w:adjustRightInd w:val="0"/>
        <w:snapToGrid w:val="0"/>
        <w:spacing w:line="360" w:lineRule="auto"/>
        <w:ind w:firstLine="420"/>
        <w:rPr>
          <w:szCs w:val="21"/>
        </w:rPr>
      </w:pPr>
    </w:p>
    <w:p>
      <w:pPr>
        <w:adjustRightInd w:val="0"/>
        <w:snapToGrid w:val="0"/>
        <w:spacing w:line="360" w:lineRule="auto"/>
        <w:ind w:firstLine="420"/>
        <w:rPr>
          <w:szCs w:val="21"/>
        </w:rPr>
      </w:pPr>
      <w:r>
        <w:rPr>
          <w:rFonts w:hint="eastAsia"/>
          <w:szCs w:val="21"/>
        </w:rPr>
        <w:t>1、我公司未与其他供应商串通磋商响应，与采购人无利害关系且不是可能影响磋商公正性的法人、其他组织；也未与其他供应商存在负责人为同一人或者存在控股、管理关系。</w:t>
      </w:r>
    </w:p>
    <w:p>
      <w:pPr>
        <w:adjustRightInd w:val="0"/>
        <w:snapToGrid w:val="0"/>
        <w:spacing w:line="360" w:lineRule="auto"/>
        <w:ind w:firstLine="420"/>
        <w:rPr>
          <w:szCs w:val="21"/>
        </w:rPr>
      </w:pPr>
      <w:r>
        <w:rPr>
          <w:rFonts w:hint="eastAsia"/>
          <w:szCs w:val="21"/>
        </w:rPr>
        <w:t>2、我公司不是为本项目提供整体设计、规范编制或者项目管理、监理、检测等服务的供应商。</w:t>
      </w:r>
    </w:p>
    <w:p>
      <w:pPr>
        <w:adjustRightInd w:val="0"/>
        <w:snapToGrid w:val="0"/>
        <w:spacing w:line="360" w:lineRule="auto"/>
        <w:ind w:firstLine="420"/>
        <w:rPr>
          <w:szCs w:val="21"/>
        </w:rPr>
      </w:pPr>
      <w:r>
        <w:rPr>
          <w:rFonts w:hint="eastAsia"/>
          <w:szCs w:val="21"/>
        </w:rPr>
        <w:t>3、我公司未与其他公司组成联合体参与本项目磋商。</w:t>
      </w:r>
    </w:p>
    <w:p>
      <w:pPr>
        <w:adjustRightInd w:val="0"/>
        <w:snapToGrid w:val="0"/>
        <w:spacing w:line="360" w:lineRule="auto"/>
        <w:ind w:firstLine="420"/>
        <w:rPr>
          <w:szCs w:val="21"/>
        </w:rPr>
      </w:pPr>
      <w:r>
        <w:rPr>
          <w:rFonts w:hint="eastAsia"/>
          <w:szCs w:val="21"/>
        </w:rPr>
        <w:t>4、我公司保证若成交后，不以</w:t>
      </w:r>
      <w:r>
        <w:rPr>
          <w:rFonts w:hint="eastAsia"/>
          <w:color w:val="000000"/>
          <w:szCs w:val="21"/>
        </w:rPr>
        <w:t>任何形式进行转包或分包</w:t>
      </w:r>
      <w:r>
        <w:rPr>
          <w:rFonts w:hint="eastAsia"/>
          <w:szCs w:val="21"/>
        </w:rPr>
        <w:t>。</w:t>
      </w:r>
    </w:p>
    <w:p>
      <w:pPr>
        <w:pStyle w:val="20"/>
        <w:snapToGrid w:val="0"/>
        <w:spacing w:line="360" w:lineRule="auto"/>
        <w:ind w:firstLine="420" w:firstLineChars="200"/>
        <w:rPr>
          <w:rFonts w:ascii="仿宋" w:hAnsi="仿宋" w:cs="仿宋"/>
          <w:color w:val="000000"/>
        </w:rPr>
      </w:pPr>
      <w:r>
        <w:rPr>
          <w:rFonts w:ascii="仿宋" w:hAnsi="仿宋" w:cs="仿宋"/>
          <w:color w:val="000000"/>
        </w:rPr>
        <w:t>5</w:t>
      </w:r>
      <w:r>
        <w:rPr>
          <w:rFonts w:hint="eastAsia" w:ascii="仿宋" w:hAnsi="仿宋" w:cs="仿宋"/>
          <w:color w:val="000000"/>
        </w:rPr>
        <w:t>、下述签署人在此申明，本次响应文件中所提交的资料和数据都是完整的、真实的和准确的，提供的证明文件及业绩证明材料是真实的，可供查询证实，所提供的承诺均真实可靠，若我公司存在隐瞒事实、弄虚作假等不诚信行为，一经发现，则按以下处理：</w:t>
      </w: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（1）在评审阶段发现的，否决其响应文件；</w:t>
      </w: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（2）在成交后、合同签订前发现的，取消成交资格；</w:t>
      </w: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若发现我公司未按以上承诺内容执行，贵单位可视为我公司虚假磋商（应标），我公司愿意接受虚假磋商（应标）的相应处罚以及承担相应的法律责任。</w:t>
      </w:r>
    </w:p>
    <w:p>
      <w:pPr>
        <w:pStyle w:val="20"/>
        <w:snapToGrid w:val="0"/>
        <w:spacing w:line="360" w:lineRule="auto"/>
        <w:ind w:firstLine="420" w:firstLineChars="200"/>
        <w:rPr>
          <w:rFonts w:ascii="仿宋" w:hAnsi="仿宋" w:cs="仿宋"/>
          <w:color w:val="000000"/>
        </w:rPr>
      </w:pPr>
    </w:p>
    <w:p>
      <w:pPr>
        <w:pStyle w:val="20"/>
        <w:snapToGrid w:val="0"/>
        <w:spacing w:line="360" w:lineRule="auto"/>
        <w:ind w:firstLine="420" w:firstLineChars="200"/>
        <w:rPr>
          <w:rFonts w:ascii="仿宋" w:hAnsi="仿宋" w:cs="仿宋"/>
          <w:color w:val="000000"/>
        </w:rPr>
      </w:pP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供应商名称</w:t>
      </w:r>
      <w:r>
        <w:rPr>
          <w:rFonts w:hint="eastAsia"/>
          <w:color w:val="000000"/>
        </w:rPr>
        <w:t>（</w:t>
      </w:r>
      <w:r>
        <w:rPr>
          <w:rFonts w:hint="eastAsia" w:hAnsi="宋体" w:cs="宋体"/>
          <w:color w:val="000000"/>
        </w:rPr>
        <w:t>电子签章或盖章</w:t>
      </w:r>
      <w:r>
        <w:rPr>
          <w:rFonts w:hint="eastAsia"/>
          <w:color w:val="000000"/>
        </w:rPr>
        <w:t>）</w:t>
      </w:r>
      <w:r>
        <w:rPr>
          <w:rFonts w:hint="eastAsia" w:ascii="仿宋" w:hAnsi="仿宋" w:cs="仿宋"/>
          <w:color w:val="000000"/>
        </w:rPr>
        <w:t>：</w:t>
      </w:r>
      <w:r>
        <w:rPr>
          <w:rFonts w:hint="eastAsia" w:ascii="仿宋" w:hAnsi="仿宋" w:cs="仿宋"/>
          <w:color w:val="000000"/>
          <w:u w:val="single"/>
        </w:rPr>
        <w:t xml:space="preserve">                       </w:t>
      </w:r>
    </w:p>
    <w:p>
      <w:pPr>
        <w:pStyle w:val="20"/>
        <w:snapToGrid w:val="0"/>
        <w:spacing w:line="360" w:lineRule="auto"/>
        <w:ind w:firstLine="420" w:firstLineChars="200"/>
        <w:rPr>
          <w:rFonts w:ascii="仿宋" w:hAnsi="仿宋" w:cs="仿宋"/>
          <w:color w:val="000000"/>
          <w:u w:val="single"/>
        </w:rPr>
      </w:pPr>
      <w:r>
        <w:rPr>
          <w:rFonts w:hint="eastAsia" w:ascii="仿宋" w:hAnsi="仿宋" w:cs="仿宋"/>
          <w:color w:val="000000"/>
        </w:rPr>
        <w:t>法定代表人或其授权代表（电子签章或签字）：</w:t>
      </w:r>
      <w:r>
        <w:rPr>
          <w:rFonts w:hint="eastAsia" w:ascii="仿宋" w:hAnsi="仿宋" w:cs="仿宋"/>
          <w:color w:val="000000"/>
          <w:u w:val="single"/>
        </w:rPr>
        <w:t xml:space="preserve">                       </w:t>
      </w: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 xml:space="preserve">日期：     年     月    日 </w:t>
      </w:r>
    </w:p>
    <w:p>
      <w:pPr>
        <w:adjustRightInd w:val="0"/>
        <w:snapToGrid w:val="0"/>
        <w:spacing w:line="360" w:lineRule="auto"/>
        <w:ind w:firstLine="420" w:firstLineChars="200"/>
        <w:rPr>
          <w:rFonts w:ascii="宋体" w:hAnsi="宋体" w:cs="宋体"/>
          <w:color w:val="000000"/>
          <w:szCs w:val="21"/>
        </w:rPr>
      </w:pPr>
    </w:p>
    <w:p>
      <w:pPr>
        <w:adjustRightInd w:val="0"/>
        <w:snapToGrid w:val="0"/>
        <w:spacing w:line="360" w:lineRule="auto"/>
        <w:jc w:val="center"/>
        <w:rPr>
          <w:rFonts w:ascii="宋体" w:hAnsi="宋体" w:cs="宋体"/>
          <w:b/>
          <w:bCs/>
          <w:color w:val="000000"/>
          <w:szCs w:val="21"/>
        </w:rPr>
      </w:pPr>
      <w:r>
        <w:rPr>
          <w:rFonts w:ascii="宋体" w:hAnsi="宋体" w:cs="宋体"/>
          <w:color w:val="000000"/>
          <w:szCs w:val="21"/>
        </w:rPr>
        <w:br w:type="page"/>
      </w:r>
      <w:r>
        <w:rPr>
          <w:rFonts w:hint="eastAsia" w:ascii="宋体" w:hAnsi="宋体" w:cs="宋体"/>
          <w:b/>
          <w:bCs/>
          <w:color w:val="000000"/>
          <w:kern w:val="0"/>
          <w:szCs w:val="21"/>
        </w:rPr>
        <w:t>2.7</w:t>
      </w:r>
      <w:bookmarkStart w:id="603" w:name="_Toc478978894"/>
      <w:bookmarkStart w:id="604" w:name="_Toc502909058"/>
      <w:bookmarkStart w:id="605" w:name="_Toc51288993"/>
      <w:bookmarkStart w:id="606" w:name="_Toc19761"/>
      <w:bookmarkStart w:id="607" w:name="_Toc213141112"/>
      <w:bookmarkStart w:id="608" w:name="_Toc272421904"/>
      <w:bookmarkStart w:id="609" w:name="_Toc34335335"/>
      <w:r>
        <w:rPr>
          <w:rFonts w:hint="eastAsia" w:ascii="宋体" w:hAnsi="宋体" w:cs="宋体"/>
          <w:b/>
          <w:bCs/>
          <w:color w:val="000000"/>
          <w:szCs w:val="21"/>
        </w:rPr>
        <w:t>其它资料</w:t>
      </w:r>
      <w:bookmarkEnd w:id="603"/>
      <w:bookmarkEnd w:id="604"/>
      <w:bookmarkEnd w:id="605"/>
      <w:bookmarkEnd w:id="606"/>
      <w:bookmarkEnd w:id="607"/>
      <w:bookmarkEnd w:id="608"/>
      <w:bookmarkEnd w:id="609"/>
    </w:p>
    <w:p>
      <w:pPr>
        <w:pStyle w:val="20"/>
        <w:snapToGrid w:val="0"/>
        <w:spacing w:line="360" w:lineRule="auto"/>
        <w:rPr>
          <w:rFonts w:hAnsi="宋体" w:cs="宋体"/>
          <w:b/>
          <w:color w:val="000000"/>
        </w:rPr>
      </w:pPr>
      <w:bookmarkStart w:id="610" w:name="_Hlk478978544"/>
    </w:p>
    <w:bookmarkEnd w:id="610"/>
    <w:p>
      <w:pPr>
        <w:adjustRightInd w:val="0"/>
        <w:snapToGrid w:val="0"/>
        <w:spacing w:line="360" w:lineRule="auto"/>
        <w:jc w:val="center"/>
        <w:rPr>
          <w:rFonts w:ascii="宋体" w:hAnsi="宋体" w:cs="宋体"/>
          <w:szCs w:val="21"/>
        </w:rPr>
      </w:pPr>
      <w:bookmarkStart w:id="611" w:name="_Hlk80884490"/>
      <w:r>
        <w:rPr>
          <w:rFonts w:hint="eastAsia" w:ascii="宋体" w:hAnsi="宋体" w:cs="宋体"/>
          <w:szCs w:val="21"/>
        </w:rPr>
        <w:t>磋商文件要求及供应商认为有必要提供的其它资格证明材料。</w:t>
      </w:r>
    </w:p>
    <w:bookmarkEnd w:id="611"/>
    <w:p>
      <w:pPr>
        <w:adjustRightInd w:val="0"/>
        <w:snapToGrid w:val="0"/>
        <w:spacing w:line="360" w:lineRule="auto"/>
        <w:rPr>
          <w:rFonts w:ascii="宋体" w:hAnsi="宋体" w:cs="宋体"/>
          <w:color w:val="000000"/>
          <w:szCs w:val="21"/>
        </w:rPr>
      </w:pPr>
    </w:p>
    <w:p>
      <w:pPr>
        <w:adjustRightInd w:val="0"/>
        <w:snapToGrid w:val="0"/>
        <w:spacing w:line="360" w:lineRule="auto"/>
      </w:pPr>
    </w:p>
    <w:p>
      <w:pPr>
        <w:adjustRightInd w:val="0"/>
        <w:snapToGrid w:val="0"/>
        <w:spacing w:line="360" w:lineRule="auto"/>
        <w:jc w:val="left"/>
        <w:rPr>
          <w:rFonts w:ascii="宋体" w:hAnsi="宋体" w:cs="宋体"/>
          <w:b/>
          <w:color w:val="000000"/>
          <w:sz w:val="24"/>
          <w:szCs w:val="21"/>
        </w:rPr>
      </w:pPr>
      <w:r>
        <w:rPr>
          <w:rFonts w:hint="eastAsia" w:ascii="宋体" w:hAnsi="宋体" w:cs="宋体"/>
          <w:b/>
          <w:color w:val="000000"/>
          <w:sz w:val="24"/>
          <w:szCs w:val="21"/>
        </w:rPr>
        <w:br w:type="page"/>
      </w:r>
    </w:p>
    <w:p>
      <w:pPr>
        <w:pStyle w:val="4"/>
        <w:adjustRightInd w:val="0"/>
        <w:snapToGrid w:val="0"/>
        <w:spacing w:before="0" w:after="0"/>
      </w:pPr>
      <w:bookmarkStart w:id="612" w:name="_Toc502909059"/>
      <w:bookmarkStart w:id="613" w:name="_Toc9865"/>
      <w:bookmarkStart w:id="614" w:name="_Toc30624"/>
      <w:bookmarkStart w:id="615" w:name="_Toc12170"/>
      <w:bookmarkStart w:id="616" w:name="_Toc16943"/>
      <w:bookmarkStart w:id="617" w:name="_Toc34335336"/>
      <w:bookmarkStart w:id="618" w:name="_Toc27327"/>
      <w:r>
        <w:rPr>
          <w:rFonts w:hint="eastAsia"/>
        </w:rPr>
        <w:t>三、商务文件</w:t>
      </w:r>
      <w:bookmarkEnd w:id="612"/>
      <w:bookmarkEnd w:id="613"/>
      <w:bookmarkEnd w:id="614"/>
      <w:bookmarkEnd w:id="615"/>
      <w:bookmarkEnd w:id="616"/>
      <w:bookmarkEnd w:id="617"/>
      <w:bookmarkEnd w:id="618"/>
    </w:p>
    <w:p>
      <w:pPr>
        <w:adjustRightInd w:val="0"/>
        <w:snapToGrid w:val="0"/>
        <w:spacing w:line="360" w:lineRule="auto"/>
        <w:jc w:val="center"/>
        <w:outlineLvl w:val="2"/>
        <w:rPr>
          <w:rFonts w:ascii="宋体" w:hAnsi="宋体" w:cs="宋体"/>
          <w:b/>
          <w:color w:val="000000"/>
          <w:szCs w:val="21"/>
        </w:rPr>
      </w:pPr>
      <w:bookmarkStart w:id="619" w:name="_Toc34335338"/>
      <w:bookmarkStart w:id="620" w:name="_Toc23771"/>
      <w:bookmarkStart w:id="621" w:name="_Toc9255"/>
      <w:r>
        <w:rPr>
          <w:rFonts w:hint="eastAsia" w:ascii="宋体" w:hAnsi="宋体" w:cs="宋体"/>
          <w:b/>
          <w:color w:val="000000"/>
          <w:szCs w:val="21"/>
        </w:rPr>
        <w:t>3.1法定代表人身份证明书</w:t>
      </w:r>
      <w:bookmarkEnd w:id="619"/>
      <w:bookmarkEnd w:id="620"/>
      <w:bookmarkEnd w:id="621"/>
    </w:p>
    <w:p>
      <w:pPr>
        <w:adjustRightInd w:val="0"/>
        <w:snapToGrid w:val="0"/>
        <w:spacing w:line="360" w:lineRule="auto"/>
        <w:jc w:val="center"/>
        <w:rPr>
          <w:rFonts w:ascii="宋体" w:hAnsi="宋体" w:cs="宋体"/>
          <w:b/>
          <w:color w:val="000000"/>
          <w:szCs w:val="21"/>
        </w:rPr>
      </w:pPr>
    </w:p>
    <w:p>
      <w:pPr>
        <w:adjustRightInd w:val="0"/>
        <w:snapToGrid w:val="0"/>
        <w:spacing w:line="360" w:lineRule="auto"/>
        <w:rPr>
          <w:rFonts w:ascii="宋体" w:hAnsi="宋体" w:cs="宋体"/>
          <w:color w:val="000000"/>
          <w:szCs w:val="21"/>
        </w:rPr>
      </w:pPr>
      <w:r>
        <w:rPr>
          <w:rFonts w:hint="eastAsia" w:ascii="宋体" w:hAnsi="宋体" w:cs="宋体"/>
          <w:color w:val="000000"/>
          <w:szCs w:val="21"/>
        </w:rPr>
        <w:t>供应商名称：</w:t>
      </w:r>
      <w:r>
        <w:rPr>
          <w:rFonts w:hint="eastAsia" w:ascii="宋体" w:hAnsi="宋体" w:cs="宋体"/>
          <w:color w:val="000000"/>
          <w:szCs w:val="21"/>
          <w:u w:val="single"/>
        </w:rPr>
        <w:t xml:space="preserve">                        </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单位性质：</w:t>
      </w:r>
      <w:r>
        <w:rPr>
          <w:rFonts w:hint="eastAsia" w:ascii="宋体" w:hAnsi="宋体" w:cs="宋体"/>
          <w:color w:val="000000"/>
          <w:szCs w:val="21"/>
          <w:u w:val="single"/>
        </w:rPr>
        <w:t xml:space="preserve">                          </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成立时间：</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经营期限：</w:t>
      </w:r>
      <w:r>
        <w:rPr>
          <w:rFonts w:hint="eastAsia" w:ascii="宋体" w:hAnsi="宋体" w:cs="宋体"/>
          <w:color w:val="000000"/>
          <w:szCs w:val="21"/>
          <w:u w:val="single"/>
        </w:rPr>
        <w:t xml:space="preserve">                          </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姓名：</w:t>
      </w:r>
      <w:r>
        <w:rPr>
          <w:rFonts w:hint="eastAsia" w:ascii="宋体" w:hAnsi="宋体" w:cs="宋体"/>
          <w:color w:val="000000"/>
          <w:szCs w:val="21"/>
          <w:u w:val="single"/>
        </w:rPr>
        <w:t xml:space="preserve">            </w:t>
      </w:r>
      <w:r>
        <w:rPr>
          <w:rFonts w:hint="eastAsia" w:ascii="宋体" w:hAnsi="宋体" w:cs="宋体"/>
          <w:color w:val="000000"/>
          <w:szCs w:val="21"/>
        </w:rPr>
        <w:t>性别：</w:t>
      </w:r>
      <w:r>
        <w:rPr>
          <w:rFonts w:hint="eastAsia" w:ascii="宋体" w:hAnsi="宋体" w:cs="宋体"/>
          <w:color w:val="000000"/>
          <w:szCs w:val="21"/>
          <w:u w:val="single"/>
        </w:rPr>
        <w:t xml:space="preserve">            </w:t>
      </w:r>
      <w:r>
        <w:rPr>
          <w:rFonts w:hint="eastAsia" w:ascii="宋体" w:hAnsi="宋体" w:cs="宋体"/>
          <w:color w:val="000000"/>
          <w:szCs w:val="21"/>
        </w:rPr>
        <w:t>年龄：</w:t>
      </w:r>
      <w:r>
        <w:rPr>
          <w:rFonts w:hint="eastAsia" w:ascii="宋体" w:hAnsi="宋体" w:cs="宋体"/>
          <w:color w:val="000000"/>
          <w:szCs w:val="21"/>
          <w:u w:val="single"/>
        </w:rPr>
        <w:t xml:space="preserve">            </w:t>
      </w:r>
      <w:r>
        <w:rPr>
          <w:rFonts w:hint="eastAsia" w:ascii="宋体" w:hAnsi="宋体" w:cs="宋体"/>
          <w:color w:val="000000"/>
          <w:szCs w:val="21"/>
        </w:rPr>
        <w:t>职务：</w:t>
      </w:r>
      <w:r>
        <w:rPr>
          <w:rFonts w:hint="eastAsia" w:ascii="宋体" w:hAnsi="宋体" w:cs="宋体"/>
          <w:color w:val="000000"/>
          <w:szCs w:val="21"/>
          <w:u w:val="single"/>
        </w:rPr>
        <w:t xml:space="preserve">            </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系</w:t>
      </w:r>
      <w:r>
        <w:rPr>
          <w:rFonts w:hint="eastAsia" w:ascii="宋体" w:hAnsi="宋体" w:cs="宋体"/>
          <w:color w:val="000000"/>
          <w:szCs w:val="21"/>
          <w:u w:val="single"/>
        </w:rPr>
        <w:t xml:space="preserve">                        </w:t>
      </w:r>
      <w:r>
        <w:rPr>
          <w:rFonts w:hint="eastAsia" w:ascii="宋体" w:hAnsi="宋体" w:cs="宋体"/>
          <w:color w:val="000000"/>
          <w:szCs w:val="21"/>
        </w:rPr>
        <w:t>（供应商名称）的法定代表人。</w:t>
      </w:r>
    </w:p>
    <w:p>
      <w:pPr>
        <w:adjustRightInd w:val="0"/>
        <w:snapToGrid w:val="0"/>
        <w:spacing w:line="360" w:lineRule="auto"/>
        <w:ind w:firstLine="420" w:firstLineChars="200"/>
        <w:rPr>
          <w:rFonts w:ascii="宋体" w:hAnsi="宋体" w:cs="宋体"/>
          <w:color w:val="000000"/>
          <w:szCs w:val="21"/>
        </w:rPr>
      </w:pP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特此证明。</w:t>
      </w:r>
    </w:p>
    <w:p>
      <w:pPr>
        <w:adjustRightInd w:val="0"/>
        <w:snapToGrid w:val="0"/>
        <w:spacing w:line="360" w:lineRule="auto"/>
        <w:rPr>
          <w:rFonts w:ascii="宋体" w:hAnsi="宋体" w:cs="宋体"/>
          <w:b/>
          <w:bCs/>
          <w:color w:val="000000"/>
          <w:szCs w:val="21"/>
        </w:rPr>
      </w:pPr>
    </w:p>
    <w:p>
      <w:pPr>
        <w:adjustRightInd w:val="0"/>
        <w:snapToGrid w:val="0"/>
        <w:spacing w:line="360" w:lineRule="auto"/>
        <w:rPr>
          <w:rFonts w:ascii="宋体" w:hAnsi="宋体" w:cs="宋体"/>
          <w:b/>
          <w:bCs/>
          <w:color w:val="000000"/>
          <w:szCs w:val="21"/>
        </w:rPr>
      </w:pPr>
      <w:r>
        <w:rPr>
          <w:rFonts w:hint="eastAsia" w:ascii="宋体" w:hAnsi="宋体" w:cs="宋体"/>
          <w:b/>
          <w:bCs/>
          <w:color w:val="000000"/>
          <w:szCs w:val="21"/>
        </w:rPr>
        <w:t>附：法定代表人身份证（正、反面）扫描件。</w:t>
      </w:r>
    </w:p>
    <w:p>
      <w:pPr>
        <w:adjustRightInd w:val="0"/>
        <w:snapToGrid w:val="0"/>
        <w:spacing w:line="360" w:lineRule="auto"/>
        <w:rPr>
          <w:rFonts w:ascii="宋体" w:hAnsi="宋体" w:cs="宋体"/>
          <w:b/>
          <w:bCs/>
          <w:color w:val="000000"/>
          <w:szCs w:val="21"/>
        </w:rPr>
      </w:pPr>
    </w:p>
    <w:p>
      <w:pPr>
        <w:adjustRightInd w:val="0"/>
        <w:snapToGrid w:val="0"/>
        <w:spacing w:line="360" w:lineRule="auto"/>
        <w:rPr>
          <w:rFonts w:ascii="宋体" w:hAnsi="宋体" w:cs="宋体"/>
          <w:b/>
          <w:bCs/>
          <w:color w:val="000000"/>
          <w:szCs w:val="21"/>
        </w:rPr>
      </w:pPr>
    </w:p>
    <w:p>
      <w:pPr>
        <w:adjustRightInd w:val="0"/>
        <w:snapToGrid w:val="0"/>
        <w:spacing w:line="360" w:lineRule="auto"/>
        <w:rPr>
          <w:rFonts w:ascii="宋体" w:hAnsi="宋体" w:cs="宋体"/>
          <w:b/>
          <w:bCs/>
          <w:color w:val="000000"/>
          <w:szCs w:val="21"/>
        </w:rPr>
      </w:pP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b/>
          <w:bCs/>
          <w:color w:val="000000"/>
          <w:szCs w:val="21"/>
        </w:rPr>
      </w:pPr>
    </w:p>
    <w:p>
      <w:pPr>
        <w:adjustRightInd w:val="0"/>
        <w:snapToGrid w:val="0"/>
        <w:spacing w:line="360" w:lineRule="auto"/>
        <w:rPr>
          <w:rFonts w:ascii="宋体" w:hAnsi="宋体" w:cs="宋体"/>
          <w:color w:val="000000"/>
          <w:szCs w:val="21"/>
        </w:rPr>
      </w:pPr>
      <w:r>
        <w:rPr>
          <w:rFonts w:hint="eastAsia" w:ascii="宋体" w:hAnsi="宋体" w:cs="宋体"/>
          <w:color w:val="000000"/>
          <w:szCs w:val="21"/>
        </w:rPr>
        <w:t>供应商：</w:t>
      </w:r>
      <w:r>
        <w:rPr>
          <w:rFonts w:hint="eastAsia" w:ascii="宋体" w:hAnsi="宋体" w:cs="宋体"/>
          <w:color w:val="000000"/>
          <w:szCs w:val="21"/>
          <w:u w:val="single"/>
        </w:rPr>
        <w:t xml:space="preserve">                    </w:t>
      </w:r>
      <w:r>
        <w:rPr>
          <w:rFonts w:hint="eastAsia" w:ascii="宋体" w:hAnsi="宋体" w:cs="宋体"/>
          <w:color w:val="000000"/>
          <w:szCs w:val="21"/>
        </w:rPr>
        <w:t>（电子签章或盖章）</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日  期：</w:t>
      </w:r>
      <w:r>
        <w:rPr>
          <w:rFonts w:hint="eastAsia" w:ascii="宋体" w:hAnsi="宋体" w:cs="宋体"/>
          <w:color w:val="000000"/>
          <w:szCs w:val="21"/>
          <w:u w:val="single"/>
        </w:rPr>
        <w:t xml:space="preserve">         </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rPr>
        <w:t>日</w:t>
      </w:r>
    </w:p>
    <w:p>
      <w:pPr>
        <w:adjustRightInd w:val="0"/>
        <w:snapToGrid w:val="0"/>
        <w:spacing w:line="360" w:lineRule="auto"/>
        <w:rPr>
          <w:rFonts w:ascii="宋体" w:hAnsi="宋体" w:cs="宋体"/>
          <w:color w:val="000000"/>
          <w:szCs w:val="21"/>
        </w:rPr>
      </w:pPr>
    </w:p>
    <w:p>
      <w:pPr>
        <w:adjustRightInd w:val="0"/>
        <w:snapToGrid w:val="0"/>
        <w:spacing w:line="360" w:lineRule="auto"/>
        <w:rPr>
          <w:rFonts w:ascii="宋体" w:hAnsi="宋体" w:cs="宋体"/>
          <w:color w:val="000000"/>
        </w:rPr>
      </w:pPr>
      <w:r>
        <w:rPr>
          <w:rFonts w:hint="eastAsia" w:ascii="宋体" w:hAnsi="宋体" w:cs="宋体"/>
          <w:color w:val="000000"/>
        </w:rPr>
        <w:br w:type="page"/>
      </w:r>
    </w:p>
    <w:p>
      <w:pPr>
        <w:adjustRightInd w:val="0"/>
        <w:snapToGrid w:val="0"/>
        <w:spacing w:line="360" w:lineRule="auto"/>
        <w:jc w:val="center"/>
        <w:outlineLvl w:val="2"/>
        <w:rPr>
          <w:rFonts w:ascii="宋体" w:hAnsi="宋体" w:cs="宋体"/>
          <w:b/>
          <w:color w:val="000000"/>
          <w:szCs w:val="21"/>
        </w:rPr>
      </w:pPr>
      <w:bookmarkStart w:id="622" w:name="_Toc15045"/>
      <w:bookmarkStart w:id="623" w:name="_Toc34335337"/>
      <w:bookmarkStart w:id="624" w:name="_Toc502909056"/>
      <w:bookmarkStart w:id="625" w:name="_Toc29447"/>
      <w:bookmarkStart w:id="626" w:name="_Toc502909055"/>
      <w:bookmarkStart w:id="627" w:name="_Toc502909060"/>
      <w:bookmarkStart w:id="628" w:name="_Toc482092697"/>
      <w:bookmarkStart w:id="629" w:name="_Toc469035632"/>
      <w:bookmarkStart w:id="630" w:name="_Toc478978902"/>
      <w:r>
        <w:rPr>
          <w:rFonts w:hint="eastAsia" w:ascii="宋体" w:hAnsi="宋体" w:cs="宋体"/>
          <w:b/>
          <w:color w:val="000000"/>
          <w:szCs w:val="21"/>
        </w:rPr>
        <w:t>3.2法定代表人授权委托书</w:t>
      </w:r>
      <w:bookmarkEnd w:id="622"/>
      <w:bookmarkEnd w:id="623"/>
      <w:bookmarkEnd w:id="624"/>
      <w:bookmarkEnd w:id="625"/>
    </w:p>
    <w:p>
      <w:pPr>
        <w:adjustRightInd w:val="0"/>
        <w:snapToGrid w:val="0"/>
        <w:spacing w:line="360" w:lineRule="auto"/>
        <w:rPr>
          <w:rFonts w:ascii="宋体" w:hAnsi="宋体" w:cs="宋体"/>
          <w:color w:val="000000"/>
          <w:szCs w:val="21"/>
        </w:rPr>
      </w:pP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本授权书声明：</w:t>
      </w:r>
      <w:r>
        <w:rPr>
          <w:rFonts w:hint="eastAsia" w:ascii="宋体" w:hAnsi="宋体" w:cs="宋体"/>
          <w:color w:val="000000"/>
          <w:szCs w:val="21"/>
          <w:u w:val="single"/>
        </w:rPr>
        <w:t xml:space="preserve">       （供应商全称）     </w:t>
      </w:r>
      <w:r>
        <w:rPr>
          <w:rFonts w:hint="eastAsia" w:ascii="宋体" w:hAnsi="宋体" w:cs="宋体"/>
          <w:color w:val="000000"/>
          <w:szCs w:val="21"/>
        </w:rPr>
        <w:t>的法定代表人代表本公司授权</w:t>
      </w:r>
      <w:r>
        <w:rPr>
          <w:rFonts w:hint="eastAsia" w:ascii="宋体" w:hAnsi="宋体" w:cs="宋体"/>
          <w:color w:val="000000"/>
          <w:szCs w:val="21"/>
          <w:u w:val="single"/>
        </w:rPr>
        <w:t xml:space="preserve">   （授权代表姓名）   </w:t>
      </w:r>
      <w:r>
        <w:rPr>
          <w:rFonts w:hint="eastAsia" w:ascii="宋体" w:hAnsi="宋体" w:cs="宋体"/>
          <w:color w:val="000000"/>
          <w:szCs w:val="21"/>
        </w:rPr>
        <w:t>为本公司合法授权代表，以本单位名义亲自出席参加贵方组织的</w:t>
      </w:r>
      <w:r>
        <w:rPr>
          <w:rFonts w:hint="eastAsia" w:ascii="宋体" w:hAnsi="宋体" w:cs="宋体"/>
          <w:color w:val="000000"/>
          <w:szCs w:val="21"/>
          <w:u w:val="single"/>
        </w:rPr>
        <w:t xml:space="preserve">    （采购项目名称）（  标段）</w:t>
      </w:r>
      <w:r>
        <w:rPr>
          <w:rFonts w:hint="eastAsia" w:ascii="宋体" w:hAnsi="宋体" w:cs="宋体"/>
          <w:color w:val="000000"/>
          <w:szCs w:val="21"/>
        </w:rPr>
        <w:t>项目（项目编号：</w:t>
      </w:r>
      <w:r>
        <w:rPr>
          <w:rFonts w:hint="eastAsia" w:ascii="宋体" w:hAnsi="宋体" w:cs="宋体"/>
          <w:color w:val="000000"/>
          <w:szCs w:val="21"/>
          <w:u w:val="single"/>
        </w:rPr>
        <w:t xml:space="preserve">          </w:t>
      </w:r>
      <w:r>
        <w:rPr>
          <w:rFonts w:hint="eastAsia" w:ascii="宋体" w:hAnsi="宋体" w:cs="宋体"/>
          <w:color w:val="000000"/>
          <w:szCs w:val="21"/>
        </w:rPr>
        <w:t>）的磋商采购。授权代表在本项目磋商过程中所签署的一切文件和处理与之有关的一切事务，我方均予承认。</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授权代表无转委托权。</w:t>
      </w:r>
    </w:p>
    <w:p>
      <w:pPr>
        <w:adjustRightInd w:val="0"/>
        <w:snapToGrid w:val="0"/>
        <w:spacing w:line="360" w:lineRule="auto"/>
        <w:ind w:firstLine="420" w:firstLineChars="200"/>
        <w:rPr>
          <w:rFonts w:ascii="宋体" w:hAnsi="宋体" w:cs="宋体"/>
          <w:color w:val="000000"/>
          <w:szCs w:val="21"/>
        </w:rPr>
      </w:pP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供应商：</w:t>
      </w:r>
      <w:r>
        <w:rPr>
          <w:rFonts w:hint="eastAsia" w:ascii="宋体" w:hAnsi="宋体" w:cs="宋体"/>
          <w:bCs/>
          <w:color w:val="000000"/>
          <w:szCs w:val="21"/>
          <w:u w:val="single"/>
        </w:rPr>
        <w:t xml:space="preserve">                          </w:t>
      </w:r>
      <w:r>
        <w:rPr>
          <w:rFonts w:hint="eastAsia" w:ascii="宋体" w:hAnsi="宋体" w:cs="宋体"/>
          <w:bCs/>
          <w:color w:val="000000"/>
          <w:szCs w:val="21"/>
        </w:rPr>
        <w:t>（电子签章或盖章）</w:t>
      </w: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法定代表人：</w:t>
      </w:r>
      <w:r>
        <w:rPr>
          <w:rFonts w:hint="eastAsia" w:ascii="宋体" w:hAnsi="宋体" w:cs="宋体"/>
          <w:bCs/>
          <w:color w:val="000000"/>
          <w:szCs w:val="21"/>
          <w:u w:val="single"/>
        </w:rPr>
        <w:t xml:space="preserve">                      </w:t>
      </w:r>
      <w:r>
        <w:rPr>
          <w:rFonts w:hint="eastAsia" w:ascii="宋体" w:hAnsi="宋体" w:cs="宋体"/>
          <w:bCs/>
          <w:color w:val="000000"/>
          <w:szCs w:val="21"/>
        </w:rPr>
        <w:t>（电子签章或签字）</w:t>
      </w: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法定代表人身份证号码：</w:t>
      </w:r>
      <w:r>
        <w:rPr>
          <w:rFonts w:hint="eastAsia" w:ascii="宋体" w:hAnsi="宋体" w:cs="宋体"/>
          <w:bCs/>
          <w:color w:val="000000"/>
          <w:szCs w:val="21"/>
          <w:u w:val="single"/>
        </w:rPr>
        <w:t xml:space="preserve">                             </w:t>
      </w: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授权代表：</w:t>
      </w:r>
      <w:r>
        <w:rPr>
          <w:rFonts w:hint="eastAsia" w:ascii="宋体" w:hAnsi="宋体" w:cs="宋体"/>
          <w:bCs/>
          <w:color w:val="000000"/>
          <w:szCs w:val="21"/>
          <w:u w:val="single"/>
        </w:rPr>
        <w:t xml:space="preserve">                      </w:t>
      </w:r>
      <w:r>
        <w:rPr>
          <w:rFonts w:hint="eastAsia" w:ascii="宋体" w:hAnsi="宋体" w:cs="宋体"/>
          <w:bCs/>
          <w:color w:val="000000"/>
          <w:szCs w:val="21"/>
        </w:rPr>
        <w:t>（电子签章或签字）</w:t>
      </w: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职      务：</w:t>
      </w:r>
      <w:r>
        <w:rPr>
          <w:rFonts w:hint="eastAsia" w:ascii="宋体" w:hAnsi="宋体" w:cs="宋体"/>
          <w:bCs/>
          <w:color w:val="000000"/>
          <w:szCs w:val="21"/>
          <w:u w:val="single"/>
        </w:rPr>
        <w:t xml:space="preserve">                             </w:t>
      </w: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授权代表身份证号码：</w:t>
      </w:r>
      <w:r>
        <w:rPr>
          <w:rFonts w:hint="eastAsia" w:ascii="宋体" w:hAnsi="宋体" w:cs="宋体"/>
          <w:bCs/>
          <w:color w:val="000000"/>
          <w:szCs w:val="21"/>
          <w:u w:val="single"/>
        </w:rPr>
        <w:t xml:space="preserve">                             </w:t>
      </w:r>
    </w:p>
    <w:p>
      <w:pPr>
        <w:adjustRightInd w:val="0"/>
        <w:snapToGrid w:val="0"/>
        <w:spacing w:line="360" w:lineRule="auto"/>
        <w:ind w:firstLine="420" w:firstLineChars="200"/>
        <w:rPr>
          <w:rFonts w:ascii="宋体" w:hAnsi="宋体" w:cs="宋体"/>
          <w:bCs/>
          <w:color w:val="000000"/>
          <w:szCs w:val="21"/>
          <w:u w:val="single"/>
        </w:rPr>
      </w:pP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w:t>
      </w:r>
    </w:p>
    <w:p>
      <w:pPr>
        <w:adjustRightInd w:val="0"/>
        <w:snapToGrid w:val="0"/>
        <w:spacing w:line="360" w:lineRule="auto"/>
        <w:ind w:firstLine="420" w:firstLineChars="200"/>
        <w:rPr>
          <w:rFonts w:ascii="宋体" w:hAnsi="宋体" w:cs="宋体"/>
          <w:color w:val="000000"/>
          <w:szCs w:val="21"/>
        </w:rPr>
      </w:pP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附：授权代表身份证（正、反面）扫描件</w:t>
      </w:r>
    </w:p>
    <w:p>
      <w:pPr>
        <w:adjustRightInd w:val="0"/>
        <w:snapToGrid w:val="0"/>
        <w:spacing w:line="360" w:lineRule="auto"/>
        <w:ind w:firstLine="420" w:firstLineChars="200"/>
        <w:rPr>
          <w:rFonts w:ascii="宋体" w:hAnsi="宋体" w:cs="宋体"/>
          <w:color w:val="000000"/>
          <w:szCs w:val="21"/>
        </w:rPr>
      </w:pPr>
    </w:p>
    <w:p>
      <w:pPr>
        <w:adjustRightInd w:val="0"/>
        <w:snapToGrid w:val="0"/>
        <w:spacing w:line="360" w:lineRule="auto"/>
        <w:ind w:firstLine="420" w:firstLineChars="200"/>
        <w:rPr>
          <w:rFonts w:ascii="宋体" w:hAnsi="宋体" w:cs="宋体"/>
          <w:color w:val="000000"/>
          <w:szCs w:val="21"/>
        </w:rPr>
      </w:pPr>
    </w:p>
    <w:p>
      <w:pPr>
        <w:adjustRightInd w:val="0"/>
        <w:snapToGrid w:val="0"/>
        <w:spacing w:line="360" w:lineRule="auto"/>
        <w:ind w:firstLine="420" w:firstLineChars="200"/>
        <w:rPr>
          <w:rFonts w:ascii="宋体" w:hAnsi="宋体" w:cs="宋体"/>
          <w:color w:val="000000"/>
          <w:szCs w:val="21"/>
        </w:rPr>
      </w:pPr>
    </w:p>
    <w:p>
      <w:pPr>
        <w:adjustRightInd w:val="0"/>
        <w:snapToGrid w:val="0"/>
        <w:spacing w:line="360" w:lineRule="auto"/>
        <w:ind w:firstLine="420" w:firstLineChars="200"/>
        <w:rPr>
          <w:rFonts w:ascii="宋体" w:hAnsi="宋体" w:cs="宋体"/>
          <w:color w:val="000000"/>
          <w:szCs w:val="21"/>
        </w:rPr>
      </w:pPr>
    </w:p>
    <w:p>
      <w:pPr>
        <w:adjustRightInd w:val="0"/>
        <w:snapToGrid w:val="0"/>
        <w:spacing w:line="360" w:lineRule="auto"/>
        <w:ind w:firstLine="420" w:firstLineChars="200"/>
        <w:rPr>
          <w:rFonts w:ascii="宋体" w:hAnsi="宋体" w:cs="宋体"/>
          <w:color w:val="000000"/>
          <w:szCs w:val="21"/>
        </w:rPr>
      </w:pPr>
    </w:p>
    <w:p>
      <w:pPr>
        <w:pStyle w:val="20"/>
        <w:snapToGrid w:val="0"/>
        <w:spacing w:line="360" w:lineRule="auto"/>
        <w:rPr>
          <w:rFonts w:hAnsi="宋体" w:cs="宋体"/>
          <w:color w:val="000000"/>
        </w:rPr>
      </w:pPr>
      <w:r>
        <w:rPr>
          <w:rFonts w:hint="eastAsia" w:hAnsi="宋体" w:cs="宋体"/>
          <w:color w:val="000000"/>
        </w:rPr>
        <w:t xml:space="preserve"> </w:t>
      </w:r>
    </w:p>
    <w:p>
      <w:pPr>
        <w:pStyle w:val="20"/>
        <w:snapToGrid w:val="0"/>
        <w:spacing w:line="360" w:lineRule="auto"/>
        <w:rPr>
          <w:rFonts w:hAnsi="宋体" w:cs="宋体"/>
          <w:b/>
          <w:color w:val="000000"/>
          <w:sz w:val="28"/>
          <w:szCs w:val="28"/>
        </w:rPr>
      </w:pPr>
    </w:p>
    <w:bookmarkEnd w:id="626"/>
    <w:p>
      <w:pPr>
        <w:adjustRightInd w:val="0"/>
        <w:snapToGrid w:val="0"/>
        <w:spacing w:line="360" w:lineRule="auto"/>
        <w:jc w:val="center"/>
        <w:outlineLvl w:val="2"/>
        <w:rPr>
          <w:rFonts w:ascii="宋体" w:hAnsi="宋体" w:cs="宋体"/>
          <w:b/>
          <w:color w:val="000000"/>
          <w:szCs w:val="21"/>
        </w:rPr>
      </w:pPr>
      <w:r>
        <w:rPr>
          <w:rFonts w:hint="eastAsia" w:hAnsi="宋体" w:cs="宋体"/>
          <w:b/>
          <w:color w:val="000000"/>
          <w:kern w:val="0"/>
          <w:sz w:val="20"/>
        </w:rPr>
        <w:br w:type="page"/>
      </w:r>
      <w:bookmarkStart w:id="631" w:name="_Toc347849252"/>
      <w:bookmarkStart w:id="632" w:name="_Toc31340"/>
      <w:bookmarkStart w:id="633" w:name="_Toc383175515"/>
      <w:bookmarkStart w:id="634" w:name="_Toc34335339"/>
      <w:bookmarkStart w:id="635" w:name="_Toc502909052"/>
      <w:bookmarkStart w:id="636" w:name="_Toc1700"/>
      <w:r>
        <w:rPr>
          <w:rFonts w:hint="eastAsia" w:hAnsi="宋体" w:cs="宋体"/>
          <w:b/>
          <w:color w:val="000000"/>
          <w:kern w:val="0"/>
          <w:sz w:val="20"/>
        </w:rPr>
        <w:t>3.3</w:t>
      </w:r>
      <w:r>
        <w:rPr>
          <w:rFonts w:hint="eastAsia" w:ascii="宋体" w:hAnsi="宋体" w:cs="宋体"/>
          <w:b/>
          <w:color w:val="000000"/>
          <w:szCs w:val="21"/>
        </w:rPr>
        <w:t>磋商申请</w:t>
      </w:r>
      <w:bookmarkEnd w:id="631"/>
      <w:r>
        <w:rPr>
          <w:rFonts w:hint="eastAsia" w:ascii="宋体" w:hAnsi="宋体" w:cs="宋体"/>
          <w:b/>
          <w:color w:val="000000"/>
          <w:szCs w:val="21"/>
        </w:rPr>
        <w:t>函</w:t>
      </w:r>
      <w:bookmarkEnd w:id="632"/>
      <w:bookmarkEnd w:id="633"/>
      <w:bookmarkEnd w:id="634"/>
      <w:bookmarkEnd w:id="635"/>
      <w:bookmarkEnd w:id="636"/>
    </w:p>
    <w:p>
      <w:pPr>
        <w:adjustRightInd w:val="0"/>
        <w:snapToGrid w:val="0"/>
        <w:spacing w:line="360" w:lineRule="auto"/>
        <w:jc w:val="left"/>
        <w:rPr>
          <w:rFonts w:ascii="宋体" w:hAnsi="宋体" w:cs="宋体"/>
          <w:color w:val="000000"/>
          <w:szCs w:val="21"/>
        </w:rPr>
      </w:pPr>
    </w:p>
    <w:p>
      <w:pPr>
        <w:adjustRightInd w:val="0"/>
        <w:snapToGrid w:val="0"/>
        <w:spacing w:line="360" w:lineRule="auto"/>
        <w:jc w:val="left"/>
        <w:rPr>
          <w:rFonts w:ascii="宋体" w:hAnsi="宋体" w:cs="宋体"/>
          <w:color w:val="000000"/>
          <w:szCs w:val="21"/>
        </w:rPr>
      </w:pPr>
      <w:r>
        <w:rPr>
          <w:rFonts w:hint="eastAsia" w:ascii="宋体" w:hAnsi="宋体" w:cs="宋体"/>
          <w:color w:val="000000"/>
          <w:szCs w:val="21"/>
        </w:rPr>
        <w:t>致：</w:t>
      </w:r>
      <w:r>
        <w:rPr>
          <w:rFonts w:hint="eastAsia" w:ascii="宋体" w:hAnsi="宋体" w:cs="宋体"/>
          <w:color w:val="000000"/>
          <w:szCs w:val="21"/>
          <w:u w:val="single"/>
        </w:rPr>
        <w:t xml:space="preserve">               （采购人名称）</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我方仔细研究了</w:t>
      </w:r>
      <w:r>
        <w:rPr>
          <w:rFonts w:hint="eastAsia" w:ascii="宋体" w:hAnsi="宋体" w:cs="宋体"/>
          <w:color w:val="000000"/>
          <w:szCs w:val="21"/>
          <w:u w:val="single"/>
        </w:rPr>
        <w:t>（采购项目名称）（  标段）</w:t>
      </w:r>
      <w:r>
        <w:rPr>
          <w:rFonts w:hint="eastAsia" w:ascii="宋体" w:hAnsi="宋体" w:cs="宋体"/>
          <w:color w:val="000000"/>
          <w:szCs w:val="21"/>
        </w:rPr>
        <w:t>（项目编号：</w:t>
      </w:r>
      <w:r>
        <w:rPr>
          <w:rFonts w:hint="eastAsia" w:ascii="宋体" w:hAnsi="宋体" w:cs="宋体"/>
          <w:color w:val="000000"/>
          <w:szCs w:val="21"/>
          <w:u w:val="single"/>
        </w:rPr>
        <w:t xml:space="preserve">          </w:t>
      </w:r>
      <w:r>
        <w:rPr>
          <w:rFonts w:hint="eastAsia" w:ascii="宋体" w:hAnsi="宋体" w:cs="宋体"/>
          <w:color w:val="000000"/>
          <w:szCs w:val="21"/>
        </w:rPr>
        <w:t xml:space="preserve">）项目竞争性磋商文件的全部内容，我方正式授权 </w:t>
      </w:r>
      <w:r>
        <w:rPr>
          <w:rFonts w:hint="eastAsia" w:ascii="宋体" w:hAnsi="宋体" w:cs="宋体"/>
          <w:color w:val="000000"/>
          <w:szCs w:val="21"/>
          <w:u w:val="single"/>
        </w:rPr>
        <w:t xml:space="preserve">   （姓名和职务）     </w:t>
      </w:r>
      <w:r>
        <w:rPr>
          <w:rFonts w:hint="eastAsia" w:ascii="宋体" w:hAnsi="宋体" w:cs="宋体"/>
          <w:color w:val="000000"/>
          <w:szCs w:val="21"/>
        </w:rPr>
        <w:t>全权代表</w:t>
      </w:r>
      <w:r>
        <w:rPr>
          <w:rFonts w:hint="eastAsia" w:ascii="宋体" w:hAnsi="宋体" w:cs="宋体"/>
          <w:color w:val="000000"/>
          <w:szCs w:val="21"/>
          <w:u w:val="single"/>
        </w:rPr>
        <w:t xml:space="preserve">  （供应商全称）   </w:t>
      </w:r>
      <w:r>
        <w:rPr>
          <w:rFonts w:hint="eastAsia" w:ascii="宋体" w:hAnsi="宋体" w:cs="宋体"/>
          <w:color w:val="000000"/>
          <w:szCs w:val="21"/>
        </w:rPr>
        <w:t>参加磋商，并提交响应文件。</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据此申请书，签字人宣布同意如下：</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1. 我单位愿意以最终报价表中的磋商报价承担竞争性磋商文件规定的全部内容并按合同约定承担相关义务。</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 xml:space="preserve">2. </w:t>
      </w:r>
      <w:bookmarkStart w:id="637" w:name="_Hlk502068773"/>
      <w:r>
        <w:rPr>
          <w:rFonts w:hint="eastAsia" w:ascii="宋体" w:hAnsi="宋体" w:cs="宋体"/>
          <w:color w:val="000000"/>
          <w:szCs w:val="21"/>
        </w:rPr>
        <w:t>我方同意在磋商文件规定的递交响应文件截止日期起遵循本磋商文件，并在规定的响应文件有效期满之前均具有约束力。如果我方报价被接受，则至合同履行完毕，本承诺书保持有效。如果在磋商文件有效期内撤回磋商申请或者有其他违约行为，我方承担撤回磋商申请或者有其他违约行为对采购人或采购代理机构所造成的所有损失。</w:t>
      </w:r>
      <w:bookmarkEnd w:id="637"/>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3.我方已详细审查全部竞争性磋商文件，包括修改文件以及全部参考资料和所有附件。我们完全理解并认为该磋商文件公平公正，不存在倾向性，且同意放弃对这方面有不明及误解的权利。</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4.</w:t>
      </w:r>
      <w:bookmarkStart w:id="638" w:name="_Hlk502068818"/>
      <w:r>
        <w:rPr>
          <w:rFonts w:hint="eastAsia" w:ascii="宋体" w:hAnsi="宋体" w:cs="宋体"/>
          <w:color w:val="000000"/>
          <w:szCs w:val="21"/>
        </w:rPr>
        <w:t>同意应贵方要求提供与本次磋商有关的任何数据和资料，并保证数据和资料的完整性和真实性，若有违反，我方愿意承担一切后果。若贵方需要，我方愿意提供我方作出的一切承诺的证明材料</w:t>
      </w:r>
      <w:bookmarkEnd w:id="638"/>
      <w:r>
        <w:rPr>
          <w:rFonts w:hint="eastAsia" w:ascii="宋体" w:hAnsi="宋体" w:cs="宋体"/>
          <w:color w:val="000000"/>
          <w:szCs w:val="21"/>
        </w:rPr>
        <w:t>。</w:t>
      </w: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5.我方完全理解贵方不一定要接受最低报价的供应商为成交供应商的行为。</w:t>
      </w:r>
    </w:p>
    <w:p>
      <w:pPr>
        <w:adjustRightInd w:val="0"/>
        <w:snapToGrid w:val="0"/>
        <w:spacing w:line="360" w:lineRule="auto"/>
        <w:ind w:firstLine="420" w:firstLineChars="200"/>
        <w:jc w:val="left"/>
        <w:rPr>
          <w:rFonts w:ascii="宋体" w:hAnsi="宋体" w:cs="宋体"/>
          <w:color w:val="000000"/>
          <w:szCs w:val="21"/>
        </w:rPr>
      </w:pPr>
    </w:p>
    <w:p>
      <w:pPr>
        <w:adjustRightInd w:val="0"/>
        <w:snapToGrid w:val="0"/>
        <w:spacing w:line="360" w:lineRule="auto"/>
        <w:ind w:firstLine="420" w:firstLineChars="200"/>
        <w:jc w:val="left"/>
        <w:rPr>
          <w:rFonts w:ascii="宋体" w:hAnsi="宋体" w:cs="宋体"/>
          <w:color w:val="000000"/>
          <w:szCs w:val="21"/>
        </w:rPr>
      </w:pPr>
    </w:p>
    <w:p>
      <w:pPr>
        <w:adjustRightInd w:val="0"/>
        <w:snapToGrid w:val="0"/>
        <w:spacing w:line="360" w:lineRule="auto"/>
        <w:ind w:firstLine="420" w:firstLineChars="200"/>
        <w:jc w:val="left"/>
        <w:rPr>
          <w:rFonts w:ascii="宋体" w:hAnsi="宋体" w:cs="宋体"/>
          <w:color w:val="000000"/>
          <w:szCs w:val="21"/>
        </w:rPr>
      </w:pPr>
      <w:r>
        <w:rPr>
          <w:rFonts w:hint="eastAsia" w:ascii="宋体" w:hAnsi="宋体" w:cs="宋体"/>
          <w:color w:val="000000"/>
          <w:szCs w:val="21"/>
        </w:rPr>
        <w:t>与本次磋商有关的正式通讯地址为：</w:t>
      </w:r>
    </w:p>
    <w:p>
      <w:pPr>
        <w:adjustRightInd w:val="0"/>
        <w:snapToGrid w:val="0"/>
        <w:spacing w:line="360" w:lineRule="auto"/>
        <w:ind w:firstLine="420" w:firstLineChars="200"/>
        <w:jc w:val="left"/>
        <w:rPr>
          <w:rFonts w:ascii="宋体" w:hAnsi="宋体" w:cs="宋体"/>
          <w:bCs/>
          <w:color w:val="000000"/>
          <w:szCs w:val="21"/>
        </w:rPr>
      </w:pPr>
      <w:r>
        <w:rPr>
          <w:rFonts w:hint="eastAsia" w:ascii="宋体" w:hAnsi="宋体" w:cs="宋体"/>
          <w:bCs/>
          <w:color w:val="000000"/>
          <w:szCs w:val="21"/>
        </w:rPr>
        <w:t>地    址：</w:t>
      </w:r>
      <w:r>
        <w:rPr>
          <w:rFonts w:hint="eastAsia" w:ascii="宋体" w:hAnsi="宋体" w:cs="宋体"/>
          <w:bCs/>
          <w:color w:val="000000"/>
          <w:szCs w:val="21"/>
          <w:u w:val="single"/>
        </w:rPr>
        <w:t xml:space="preserve">                  </w:t>
      </w:r>
      <w:r>
        <w:rPr>
          <w:rFonts w:hint="eastAsia" w:ascii="宋体" w:hAnsi="宋体" w:cs="宋体"/>
          <w:bCs/>
          <w:color w:val="000000"/>
          <w:szCs w:val="21"/>
        </w:rPr>
        <w:t xml:space="preserve">           邮政编码：</w:t>
      </w:r>
      <w:r>
        <w:rPr>
          <w:rFonts w:hint="eastAsia" w:ascii="宋体" w:hAnsi="宋体" w:cs="宋体"/>
          <w:bCs/>
          <w:color w:val="000000"/>
          <w:szCs w:val="21"/>
          <w:u w:val="single"/>
        </w:rPr>
        <w:t xml:space="preserve">                </w:t>
      </w:r>
    </w:p>
    <w:p>
      <w:pPr>
        <w:adjustRightInd w:val="0"/>
        <w:snapToGrid w:val="0"/>
        <w:spacing w:line="360" w:lineRule="auto"/>
        <w:ind w:firstLine="420" w:firstLineChars="200"/>
        <w:jc w:val="left"/>
        <w:rPr>
          <w:rFonts w:ascii="宋体" w:hAnsi="宋体" w:cs="宋体"/>
          <w:bCs/>
          <w:color w:val="000000"/>
          <w:szCs w:val="21"/>
        </w:rPr>
      </w:pPr>
      <w:r>
        <w:rPr>
          <w:rFonts w:hint="eastAsia" w:ascii="宋体" w:hAnsi="宋体" w:cs="宋体"/>
          <w:bCs/>
          <w:color w:val="000000"/>
          <w:szCs w:val="21"/>
        </w:rPr>
        <w:t>电    话：</w:t>
      </w:r>
      <w:r>
        <w:rPr>
          <w:rFonts w:hint="eastAsia" w:ascii="宋体" w:hAnsi="宋体" w:cs="宋体"/>
          <w:bCs/>
          <w:color w:val="000000"/>
          <w:szCs w:val="21"/>
          <w:u w:val="single"/>
        </w:rPr>
        <w:t xml:space="preserve">                  </w:t>
      </w:r>
      <w:r>
        <w:rPr>
          <w:rFonts w:hint="eastAsia" w:ascii="宋体" w:hAnsi="宋体" w:cs="宋体"/>
          <w:bCs/>
          <w:color w:val="000000"/>
          <w:szCs w:val="21"/>
        </w:rPr>
        <w:t xml:space="preserve">           传    真：</w:t>
      </w:r>
      <w:r>
        <w:rPr>
          <w:rFonts w:hint="eastAsia" w:ascii="宋体" w:hAnsi="宋体" w:cs="宋体"/>
          <w:bCs/>
          <w:color w:val="000000"/>
          <w:szCs w:val="21"/>
          <w:u w:val="single"/>
        </w:rPr>
        <w:t>　　　　　　　　</w:t>
      </w:r>
    </w:p>
    <w:p>
      <w:pPr>
        <w:adjustRightInd w:val="0"/>
        <w:snapToGrid w:val="0"/>
        <w:spacing w:line="360" w:lineRule="auto"/>
        <w:ind w:firstLine="420" w:firstLineChars="200"/>
        <w:jc w:val="left"/>
        <w:rPr>
          <w:rFonts w:ascii="宋体" w:hAnsi="宋体" w:cs="宋体"/>
          <w:bCs/>
          <w:color w:val="000000"/>
          <w:szCs w:val="21"/>
          <w:u w:val="single"/>
        </w:rPr>
      </w:pPr>
      <w:r>
        <w:rPr>
          <w:rFonts w:hint="eastAsia" w:ascii="宋体" w:hAnsi="宋体" w:cs="宋体"/>
          <w:bCs/>
          <w:color w:val="000000"/>
          <w:szCs w:val="21"/>
        </w:rPr>
        <w:t>开户名称：</w:t>
      </w:r>
      <w:r>
        <w:rPr>
          <w:rFonts w:hint="eastAsia" w:ascii="宋体" w:hAnsi="宋体" w:cs="宋体"/>
          <w:bCs/>
          <w:color w:val="000000"/>
          <w:szCs w:val="21"/>
          <w:u w:val="single"/>
        </w:rPr>
        <w:t xml:space="preserve">                                                    </w:t>
      </w:r>
    </w:p>
    <w:p>
      <w:pPr>
        <w:adjustRightInd w:val="0"/>
        <w:snapToGrid w:val="0"/>
        <w:spacing w:line="360" w:lineRule="auto"/>
        <w:ind w:firstLine="420" w:firstLineChars="200"/>
        <w:jc w:val="left"/>
        <w:rPr>
          <w:rFonts w:ascii="宋体" w:hAnsi="宋体" w:cs="宋体"/>
          <w:bCs/>
          <w:color w:val="000000"/>
          <w:szCs w:val="21"/>
          <w:u w:val="single"/>
        </w:rPr>
      </w:pPr>
      <w:r>
        <w:rPr>
          <w:rFonts w:hint="eastAsia" w:ascii="宋体" w:hAnsi="宋体" w:cs="宋体"/>
          <w:bCs/>
          <w:color w:val="000000"/>
          <w:szCs w:val="21"/>
        </w:rPr>
        <w:t>开户银行：</w:t>
      </w:r>
      <w:r>
        <w:rPr>
          <w:rFonts w:hint="eastAsia" w:ascii="宋体" w:hAnsi="宋体" w:cs="宋体"/>
          <w:bCs/>
          <w:color w:val="000000"/>
          <w:szCs w:val="21"/>
          <w:u w:val="single"/>
        </w:rPr>
        <w:t xml:space="preserve">                                                    </w:t>
      </w:r>
    </w:p>
    <w:p>
      <w:pPr>
        <w:adjustRightInd w:val="0"/>
        <w:snapToGrid w:val="0"/>
        <w:spacing w:line="360" w:lineRule="auto"/>
        <w:ind w:firstLine="420" w:firstLineChars="200"/>
        <w:jc w:val="left"/>
        <w:rPr>
          <w:rFonts w:ascii="宋体" w:hAnsi="宋体" w:cs="宋体"/>
          <w:bCs/>
          <w:color w:val="000000"/>
          <w:szCs w:val="21"/>
          <w:u w:val="single"/>
        </w:rPr>
      </w:pPr>
      <w:r>
        <w:rPr>
          <w:rFonts w:hint="eastAsia" w:ascii="宋体" w:hAnsi="宋体" w:cs="宋体"/>
          <w:bCs/>
          <w:color w:val="000000"/>
          <w:szCs w:val="21"/>
        </w:rPr>
        <w:t>帐    号：</w:t>
      </w:r>
      <w:r>
        <w:rPr>
          <w:rFonts w:hint="eastAsia" w:ascii="宋体" w:hAnsi="宋体" w:cs="宋体"/>
          <w:bCs/>
          <w:color w:val="000000"/>
          <w:szCs w:val="21"/>
          <w:u w:val="single"/>
        </w:rPr>
        <w:t xml:space="preserve">                                                    </w:t>
      </w:r>
    </w:p>
    <w:p>
      <w:pPr>
        <w:adjustRightInd w:val="0"/>
        <w:snapToGrid w:val="0"/>
        <w:spacing w:line="360" w:lineRule="auto"/>
        <w:ind w:firstLine="420" w:firstLineChars="200"/>
        <w:jc w:val="left"/>
        <w:rPr>
          <w:rFonts w:ascii="宋体" w:hAnsi="宋体" w:cs="宋体"/>
          <w:bCs/>
          <w:color w:val="000000"/>
          <w:szCs w:val="21"/>
        </w:rPr>
      </w:pPr>
      <w:r>
        <w:rPr>
          <w:rFonts w:hint="eastAsia" w:ascii="宋体" w:hAnsi="宋体" w:cs="宋体"/>
          <w:bCs/>
          <w:color w:val="000000"/>
          <w:szCs w:val="21"/>
        </w:rPr>
        <w:t>供应商名称：</w:t>
      </w:r>
      <w:r>
        <w:rPr>
          <w:rFonts w:hint="eastAsia" w:ascii="宋体" w:hAnsi="宋体" w:cs="宋体"/>
          <w:bCs/>
          <w:color w:val="000000"/>
          <w:szCs w:val="21"/>
          <w:u w:val="single"/>
        </w:rPr>
        <w:t xml:space="preserve">                                </w:t>
      </w:r>
      <w:r>
        <w:rPr>
          <w:rFonts w:hint="eastAsia" w:ascii="宋体" w:hAnsi="宋体" w:cs="宋体"/>
          <w:bCs/>
          <w:color w:val="000000"/>
          <w:szCs w:val="21"/>
        </w:rPr>
        <w:t>（电子签章或盖章）</w:t>
      </w:r>
    </w:p>
    <w:p>
      <w:pPr>
        <w:adjustRightInd w:val="0"/>
        <w:snapToGrid w:val="0"/>
        <w:spacing w:line="360" w:lineRule="auto"/>
        <w:ind w:firstLine="420" w:firstLineChars="200"/>
        <w:jc w:val="left"/>
        <w:rPr>
          <w:rFonts w:ascii="宋体" w:hAnsi="宋体" w:cs="宋体"/>
          <w:bCs/>
          <w:color w:val="000000"/>
          <w:szCs w:val="21"/>
        </w:rPr>
      </w:pPr>
      <w:r>
        <w:rPr>
          <w:rFonts w:hint="eastAsia" w:ascii="宋体" w:hAnsi="宋体" w:cs="宋体"/>
          <w:bCs/>
          <w:color w:val="000000"/>
          <w:szCs w:val="21"/>
        </w:rPr>
        <w:t>法定代表人或其授权代表：</w:t>
      </w:r>
      <w:r>
        <w:rPr>
          <w:rFonts w:hint="eastAsia" w:ascii="宋体" w:hAnsi="宋体" w:cs="宋体"/>
          <w:bCs/>
          <w:color w:val="000000"/>
          <w:szCs w:val="21"/>
          <w:u w:val="single"/>
        </w:rPr>
        <w:t xml:space="preserve">                             </w:t>
      </w:r>
      <w:r>
        <w:rPr>
          <w:rFonts w:hint="eastAsia" w:ascii="宋体" w:hAnsi="宋体" w:cs="宋体"/>
          <w:bCs/>
          <w:color w:val="000000"/>
          <w:szCs w:val="21"/>
        </w:rPr>
        <w:t>（电子签章或签字）</w:t>
      </w:r>
    </w:p>
    <w:p>
      <w:pPr>
        <w:adjustRightInd w:val="0"/>
        <w:snapToGrid w:val="0"/>
        <w:spacing w:line="360" w:lineRule="auto"/>
        <w:ind w:firstLine="420" w:firstLineChars="200"/>
        <w:jc w:val="left"/>
        <w:rPr>
          <w:rFonts w:ascii="宋体" w:hAnsi="宋体" w:cs="宋体"/>
          <w:bCs/>
          <w:color w:val="000000"/>
          <w:szCs w:val="21"/>
        </w:rPr>
      </w:pPr>
      <w:r>
        <w:rPr>
          <w:rFonts w:hint="eastAsia" w:ascii="宋体" w:hAnsi="宋体" w:cs="宋体"/>
          <w:bCs/>
          <w:color w:val="000000"/>
          <w:szCs w:val="21"/>
        </w:rPr>
        <w:t>日期：</w:t>
      </w: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w:t>
      </w:r>
    </w:p>
    <w:p>
      <w:pPr>
        <w:adjustRightInd w:val="0"/>
        <w:snapToGrid w:val="0"/>
        <w:spacing w:line="360" w:lineRule="auto"/>
        <w:jc w:val="center"/>
        <w:outlineLvl w:val="2"/>
        <w:rPr>
          <w:rFonts w:ascii="宋体" w:hAnsi="宋体" w:cs="宋体"/>
          <w:b/>
          <w:color w:val="000000"/>
          <w:szCs w:val="21"/>
        </w:rPr>
      </w:pPr>
      <w:r>
        <w:rPr>
          <w:rFonts w:ascii="宋体" w:hAnsi="宋体" w:cs="宋体"/>
          <w:b/>
          <w:color w:val="000000"/>
          <w:szCs w:val="21"/>
        </w:rPr>
        <w:br w:type="page"/>
      </w:r>
      <w:bookmarkStart w:id="639" w:name="_Toc26272"/>
      <w:r>
        <w:rPr>
          <w:rFonts w:hint="eastAsia" w:ascii="宋体" w:hAnsi="宋体" w:cs="宋体"/>
          <w:b/>
          <w:color w:val="000000"/>
          <w:szCs w:val="21"/>
        </w:rPr>
        <w:t>3.4企业基本情况表</w:t>
      </w:r>
      <w:bookmarkEnd w:id="639"/>
    </w:p>
    <w:tbl>
      <w:tblPr>
        <w:tblStyle w:val="4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562"/>
        <w:gridCol w:w="1903"/>
        <w:gridCol w:w="1519"/>
        <w:gridCol w:w="1511"/>
        <w:gridCol w:w="977"/>
        <w:gridCol w:w="124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562"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单位名称</w:t>
            </w:r>
          </w:p>
        </w:tc>
        <w:tc>
          <w:tcPr>
            <w:tcW w:w="7158" w:type="dxa"/>
            <w:gridSpan w:val="5"/>
            <w:vAlign w:val="center"/>
          </w:tcPr>
          <w:p>
            <w:pPr>
              <w:pStyle w:val="2"/>
              <w:adjustRightInd w:val="0"/>
              <w:snapToGrid w:val="0"/>
              <w:spacing w:after="0" w:line="360" w:lineRule="auto"/>
              <w:jc w:val="center"/>
              <w:rPr>
                <w:rFonts w:ascii="宋体" w:hAnsi="宋体"/>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562"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详细地址</w:t>
            </w:r>
          </w:p>
        </w:tc>
        <w:tc>
          <w:tcPr>
            <w:tcW w:w="7158" w:type="dxa"/>
            <w:gridSpan w:val="5"/>
            <w:vAlign w:val="center"/>
          </w:tcPr>
          <w:p>
            <w:pPr>
              <w:pStyle w:val="2"/>
              <w:adjustRightInd w:val="0"/>
              <w:snapToGrid w:val="0"/>
              <w:spacing w:after="0" w:line="360" w:lineRule="auto"/>
              <w:jc w:val="center"/>
              <w:rPr>
                <w:rFonts w:ascii="宋体" w:hAnsi="宋体"/>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562"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主管部门</w:t>
            </w:r>
          </w:p>
        </w:tc>
        <w:tc>
          <w:tcPr>
            <w:tcW w:w="1903" w:type="dxa"/>
            <w:vAlign w:val="center"/>
          </w:tcPr>
          <w:p>
            <w:pPr>
              <w:pStyle w:val="2"/>
              <w:adjustRightInd w:val="0"/>
              <w:snapToGrid w:val="0"/>
              <w:spacing w:after="0" w:line="360" w:lineRule="auto"/>
              <w:jc w:val="center"/>
              <w:rPr>
                <w:rFonts w:ascii="宋体" w:hAnsi="宋体"/>
                <w:color w:val="000000"/>
                <w:sz w:val="21"/>
                <w:szCs w:val="21"/>
              </w:rPr>
            </w:pPr>
          </w:p>
        </w:tc>
        <w:tc>
          <w:tcPr>
            <w:tcW w:w="1519"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法定代表人</w:t>
            </w:r>
          </w:p>
        </w:tc>
        <w:tc>
          <w:tcPr>
            <w:tcW w:w="1511" w:type="dxa"/>
            <w:vAlign w:val="center"/>
          </w:tcPr>
          <w:p>
            <w:pPr>
              <w:pStyle w:val="2"/>
              <w:adjustRightInd w:val="0"/>
              <w:snapToGrid w:val="0"/>
              <w:spacing w:after="0" w:line="360" w:lineRule="auto"/>
              <w:jc w:val="center"/>
              <w:rPr>
                <w:rFonts w:ascii="宋体" w:hAnsi="宋体"/>
                <w:color w:val="000000"/>
                <w:sz w:val="21"/>
                <w:szCs w:val="21"/>
              </w:rPr>
            </w:pPr>
          </w:p>
        </w:tc>
        <w:tc>
          <w:tcPr>
            <w:tcW w:w="977"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电话</w:t>
            </w:r>
          </w:p>
        </w:tc>
        <w:tc>
          <w:tcPr>
            <w:tcW w:w="1248" w:type="dxa"/>
            <w:vAlign w:val="center"/>
          </w:tcPr>
          <w:p>
            <w:pPr>
              <w:pStyle w:val="2"/>
              <w:adjustRightInd w:val="0"/>
              <w:snapToGrid w:val="0"/>
              <w:spacing w:after="0" w:line="360" w:lineRule="auto"/>
              <w:jc w:val="center"/>
              <w:rPr>
                <w:rFonts w:ascii="宋体" w:hAnsi="宋体"/>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562"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经济类型</w:t>
            </w:r>
          </w:p>
        </w:tc>
        <w:tc>
          <w:tcPr>
            <w:tcW w:w="1903" w:type="dxa"/>
            <w:vAlign w:val="center"/>
          </w:tcPr>
          <w:p>
            <w:pPr>
              <w:pStyle w:val="2"/>
              <w:adjustRightInd w:val="0"/>
              <w:snapToGrid w:val="0"/>
              <w:spacing w:after="0" w:line="360" w:lineRule="auto"/>
              <w:jc w:val="center"/>
              <w:rPr>
                <w:rFonts w:ascii="宋体" w:hAnsi="宋体"/>
                <w:color w:val="000000"/>
                <w:sz w:val="21"/>
                <w:szCs w:val="21"/>
              </w:rPr>
            </w:pPr>
          </w:p>
        </w:tc>
        <w:tc>
          <w:tcPr>
            <w:tcW w:w="1519"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被授权委托人</w:t>
            </w:r>
          </w:p>
        </w:tc>
        <w:tc>
          <w:tcPr>
            <w:tcW w:w="1511" w:type="dxa"/>
            <w:vAlign w:val="center"/>
          </w:tcPr>
          <w:p>
            <w:pPr>
              <w:pStyle w:val="2"/>
              <w:adjustRightInd w:val="0"/>
              <w:snapToGrid w:val="0"/>
              <w:spacing w:after="0" w:line="360" w:lineRule="auto"/>
              <w:jc w:val="center"/>
              <w:rPr>
                <w:rFonts w:ascii="宋体" w:hAnsi="宋体"/>
                <w:color w:val="000000"/>
                <w:sz w:val="21"/>
                <w:szCs w:val="21"/>
              </w:rPr>
            </w:pPr>
          </w:p>
        </w:tc>
        <w:tc>
          <w:tcPr>
            <w:tcW w:w="977"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电话</w:t>
            </w:r>
          </w:p>
        </w:tc>
        <w:tc>
          <w:tcPr>
            <w:tcW w:w="1248" w:type="dxa"/>
            <w:vAlign w:val="center"/>
          </w:tcPr>
          <w:p>
            <w:pPr>
              <w:pStyle w:val="2"/>
              <w:adjustRightInd w:val="0"/>
              <w:snapToGrid w:val="0"/>
              <w:spacing w:after="0" w:line="360" w:lineRule="auto"/>
              <w:jc w:val="center"/>
              <w:rPr>
                <w:rFonts w:ascii="宋体" w:hAnsi="宋体"/>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562"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邮政编码</w:t>
            </w:r>
          </w:p>
        </w:tc>
        <w:tc>
          <w:tcPr>
            <w:tcW w:w="1903" w:type="dxa"/>
            <w:vAlign w:val="center"/>
          </w:tcPr>
          <w:p>
            <w:pPr>
              <w:pStyle w:val="2"/>
              <w:adjustRightInd w:val="0"/>
              <w:snapToGrid w:val="0"/>
              <w:spacing w:after="0" w:line="360" w:lineRule="auto"/>
              <w:jc w:val="center"/>
              <w:rPr>
                <w:rFonts w:ascii="宋体" w:hAnsi="宋体"/>
                <w:color w:val="000000"/>
                <w:sz w:val="21"/>
                <w:szCs w:val="21"/>
              </w:rPr>
            </w:pPr>
          </w:p>
        </w:tc>
        <w:tc>
          <w:tcPr>
            <w:tcW w:w="1519"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电话</w:t>
            </w:r>
          </w:p>
        </w:tc>
        <w:tc>
          <w:tcPr>
            <w:tcW w:w="1511" w:type="dxa"/>
            <w:vAlign w:val="center"/>
          </w:tcPr>
          <w:p>
            <w:pPr>
              <w:pStyle w:val="2"/>
              <w:adjustRightInd w:val="0"/>
              <w:snapToGrid w:val="0"/>
              <w:spacing w:after="0" w:line="360" w:lineRule="auto"/>
              <w:jc w:val="center"/>
              <w:rPr>
                <w:rFonts w:ascii="宋体" w:hAnsi="宋体"/>
                <w:color w:val="000000"/>
                <w:sz w:val="21"/>
                <w:szCs w:val="21"/>
              </w:rPr>
            </w:pPr>
          </w:p>
        </w:tc>
        <w:tc>
          <w:tcPr>
            <w:tcW w:w="977"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传真</w:t>
            </w:r>
          </w:p>
        </w:tc>
        <w:tc>
          <w:tcPr>
            <w:tcW w:w="1248" w:type="dxa"/>
            <w:vAlign w:val="center"/>
          </w:tcPr>
          <w:p>
            <w:pPr>
              <w:pStyle w:val="2"/>
              <w:adjustRightInd w:val="0"/>
              <w:snapToGrid w:val="0"/>
              <w:spacing w:after="0" w:line="360" w:lineRule="auto"/>
              <w:jc w:val="center"/>
              <w:rPr>
                <w:rFonts w:ascii="宋体" w:hAnsi="宋体"/>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562" w:type="dxa"/>
            <w:tcBorders>
              <w:bottom w:val="single" w:color="auto" w:sz="4" w:space="0"/>
            </w:tcBorders>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成立时间</w:t>
            </w:r>
          </w:p>
        </w:tc>
        <w:tc>
          <w:tcPr>
            <w:tcW w:w="1903" w:type="dxa"/>
            <w:tcBorders>
              <w:bottom w:val="single" w:color="auto" w:sz="4" w:space="0"/>
              <w:right w:val="single" w:color="auto" w:sz="4" w:space="0"/>
            </w:tcBorders>
            <w:vAlign w:val="center"/>
          </w:tcPr>
          <w:p>
            <w:pPr>
              <w:pStyle w:val="2"/>
              <w:adjustRightInd w:val="0"/>
              <w:snapToGrid w:val="0"/>
              <w:spacing w:after="0" w:line="360" w:lineRule="auto"/>
              <w:jc w:val="center"/>
              <w:rPr>
                <w:rFonts w:ascii="宋体" w:hAnsi="宋体"/>
                <w:color w:val="000000"/>
                <w:sz w:val="21"/>
                <w:szCs w:val="21"/>
              </w:rPr>
            </w:pPr>
          </w:p>
        </w:tc>
        <w:tc>
          <w:tcPr>
            <w:tcW w:w="1519" w:type="dxa"/>
            <w:tcBorders>
              <w:left w:val="single" w:color="auto" w:sz="4" w:space="0"/>
              <w:bottom w:val="single" w:color="auto" w:sz="4" w:space="0"/>
              <w:right w:val="single" w:color="auto" w:sz="4" w:space="0"/>
            </w:tcBorders>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注册资金</w:t>
            </w:r>
          </w:p>
        </w:tc>
        <w:tc>
          <w:tcPr>
            <w:tcW w:w="3736" w:type="dxa"/>
            <w:gridSpan w:val="3"/>
            <w:tcBorders>
              <w:left w:val="single" w:color="auto" w:sz="4" w:space="0"/>
              <w:bottom w:val="single" w:color="auto" w:sz="4" w:space="0"/>
            </w:tcBorders>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4" w:hRule="atLeast"/>
          <w:jc w:val="center"/>
        </w:trPr>
        <w:tc>
          <w:tcPr>
            <w:tcW w:w="1562" w:type="dxa"/>
            <w:tcBorders>
              <w:bottom w:val="single" w:color="auto" w:sz="4" w:space="0"/>
            </w:tcBorders>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技术负责人</w:t>
            </w:r>
          </w:p>
        </w:tc>
        <w:tc>
          <w:tcPr>
            <w:tcW w:w="1903" w:type="dxa"/>
            <w:tcBorders>
              <w:bottom w:val="single" w:color="auto" w:sz="4" w:space="0"/>
              <w:right w:val="single" w:color="auto" w:sz="4" w:space="0"/>
            </w:tcBorders>
            <w:vAlign w:val="center"/>
          </w:tcPr>
          <w:p>
            <w:pPr>
              <w:pStyle w:val="2"/>
              <w:adjustRightInd w:val="0"/>
              <w:snapToGrid w:val="0"/>
              <w:spacing w:after="0" w:line="360" w:lineRule="auto"/>
              <w:jc w:val="center"/>
              <w:rPr>
                <w:rFonts w:ascii="宋体" w:hAnsi="宋体"/>
                <w:color w:val="000000"/>
                <w:sz w:val="21"/>
                <w:szCs w:val="21"/>
              </w:rPr>
            </w:pPr>
          </w:p>
        </w:tc>
        <w:tc>
          <w:tcPr>
            <w:tcW w:w="1519" w:type="dxa"/>
            <w:tcBorders>
              <w:left w:val="single" w:color="auto" w:sz="4" w:space="0"/>
              <w:bottom w:val="single" w:color="auto" w:sz="4" w:space="0"/>
              <w:right w:val="single" w:color="auto" w:sz="4" w:space="0"/>
            </w:tcBorders>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职称</w:t>
            </w:r>
          </w:p>
        </w:tc>
        <w:tc>
          <w:tcPr>
            <w:tcW w:w="3736" w:type="dxa"/>
            <w:gridSpan w:val="3"/>
            <w:tcBorders>
              <w:left w:val="single" w:color="auto" w:sz="4" w:space="0"/>
              <w:bottom w:val="single" w:color="auto" w:sz="4" w:space="0"/>
            </w:tcBorders>
            <w:vAlign w:val="center"/>
          </w:tcPr>
          <w:p>
            <w:pPr>
              <w:pStyle w:val="2"/>
              <w:adjustRightInd w:val="0"/>
              <w:snapToGrid w:val="0"/>
              <w:spacing w:after="0" w:line="360" w:lineRule="auto"/>
              <w:jc w:val="center"/>
              <w:rPr>
                <w:rFonts w:ascii="宋体" w:hAnsi="宋体"/>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222" w:hRule="atLeast"/>
          <w:jc w:val="center"/>
        </w:trPr>
        <w:tc>
          <w:tcPr>
            <w:tcW w:w="1562" w:type="dxa"/>
            <w:tcBorders>
              <w:top w:val="single" w:color="auto" w:sz="4" w:space="0"/>
            </w:tcBorders>
            <w:vAlign w:val="center"/>
          </w:tcPr>
          <w:p>
            <w:pPr>
              <w:pStyle w:val="2"/>
              <w:adjustRightInd w:val="0"/>
              <w:snapToGrid w:val="0"/>
              <w:spacing w:after="0" w:line="360" w:lineRule="auto"/>
              <w:rPr>
                <w:rFonts w:ascii="宋体" w:hAnsi="宋体"/>
                <w:color w:val="000000"/>
                <w:sz w:val="21"/>
                <w:szCs w:val="21"/>
              </w:rPr>
            </w:pPr>
            <w:r>
              <w:rPr>
                <w:rFonts w:hint="eastAsia" w:ascii="宋体" w:hAnsi="宋体"/>
                <w:color w:val="000000"/>
                <w:sz w:val="21"/>
                <w:szCs w:val="21"/>
              </w:rPr>
              <w:t>单位简历及机构</w:t>
            </w:r>
          </w:p>
        </w:tc>
        <w:tc>
          <w:tcPr>
            <w:tcW w:w="7158" w:type="dxa"/>
            <w:gridSpan w:val="5"/>
            <w:tcBorders>
              <w:top w:val="single" w:color="auto" w:sz="4" w:space="0"/>
            </w:tcBorders>
            <w:vAlign w:val="center"/>
          </w:tcPr>
          <w:p>
            <w:pPr>
              <w:pStyle w:val="2"/>
              <w:adjustRightInd w:val="0"/>
              <w:snapToGrid w:val="0"/>
              <w:spacing w:after="0" w:line="360" w:lineRule="auto"/>
              <w:jc w:val="center"/>
              <w:rPr>
                <w:rFonts w:ascii="宋体" w:hAnsi="宋体"/>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1140" w:hRule="atLeast"/>
          <w:jc w:val="center"/>
        </w:trPr>
        <w:tc>
          <w:tcPr>
            <w:tcW w:w="1562" w:type="dxa"/>
            <w:tcBorders>
              <w:bottom w:val="single" w:color="000000" w:sz="6" w:space="0"/>
            </w:tcBorders>
            <w:vAlign w:val="center"/>
          </w:tcPr>
          <w:p>
            <w:pPr>
              <w:pStyle w:val="2"/>
              <w:adjustRightInd w:val="0"/>
              <w:snapToGrid w:val="0"/>
              <w:spacing w:after="0" w:line="360" w:lineRule="auto"/>
              <w:rPr>
                <w:rFonts w:ascii="宋体" w:hAnsi="宋体"/>
                <w:color w:val="000000"/>
                <w:sz w:val="21"/>
                <w:szCs w:val="21"/>
              </w:rPr>
            </w:pPr>
            <w:r>
              <w:rPr>
                <w:rFonts w:hint="eastAsia" w:ascii="宋体" w:hAnsi="宋体"/>
                <w:color w:val="000000"/>
                <w:sz w:val="21"/>
                <w:szCs w:val="21"/>
              </w:rPr>
              <w:t>单位优势及特长</w:t>
            </w:r>
          </w:p>
        </w:tc>
        <w:tc>
          <w:tcPr>
            <w:tcW w:w="7158" w:type="dxa"/>
            <w:gridSpan w:val="5"/>
            <w:tcBorders>
              <w:bottom w:val="single" w:color="000000" w:sz="6" w:space="0"/>
            </w:tcBorders>
            <w:vAlign w:val="center"/>
          </w:tcPr>
          <w:p>
            <w:pPr>
              <w:pStyle w:val="2"/>
              <w:adjustRightInd w:val="0"/>
              <w:snapToGrid w:val="0"/>
              <w:spacing w:after="0" w:line="360" w:lineRule="auto"/>
              <w:jc w:val="center"/>
              <w:rPr>
                <w:rFonts w:ascii="宋体" w:hAnsi="宋体"/>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172" w:hRule="atLeast"/>
          <w:jc w:val="center"/>
        </w:trPr>
        <w:tc>
          <w:tcPr>
            <w:tcW w:w="1562"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单</w:t>
            </w:r>
          </w:p>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位</w:t>
            </w:r>
          </w:p>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概</w:t>
            </w:r>
          </w:p>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况</w:t>
            </w:r>
          </w:p>
        </w:tc>
        <w:tc>
          <w:tcPr>
            <w:tcW w:w="7158" w:type="dxa"/>
            <w:gridSpan w:val="5"/>
            <w:tcBorders>
              <w:bottom w:val="single" w:color="000000" w:sz="6" w:space="0"/>
            </w:tcBorders>
            <w:vAlign w:val="center"/>
          </w:tcPr>
          <w:p>
            <w:pPr>
              <w:pStyle w:val="2"/>
              <w:adjustRightInd w:val="0"/>
              <w:snapToGrid w:val="0"/>
              <w:spacing w:after="0" w:line="360" w:lineRule="auto"/>
              <w:jc w:val="center"/>
              <w:rPr>
                <w:rFonts w:ascii="宋体" w:hAnsi="宋体"/>
                <w:color w:val="000000"/>
                <w:sz w:val="21"/>
                <w:szCs w:val="21"/>
              </w:rPr>
            </w:pPr>
          </w:p>
        </w:tc>
      </w:tr>
    </w:tbl>
    <w:p>
      <w:pPr>
        <w:pStyle w:val="20"/>
        <w:snapToGrid w:val="0"/>
        <w:spacing w:line="360" w:lineRule="auto"/>
        <w:ind w:firstLine="420"/>
        <w:rPr>
          <w:rFonts w:ascii="仿宋" w:hAnsi="仿宋" w:cs="仿宋"/>
          <w:color w:val="000000"/>
        </w:rPr>
      </w:pP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供应商名称</w:t>
      </w:r>
      <w:r>
        <w:rPr>
          <w:rFonts w:hint="eastAsia"/>
          <w:color w:val="000000"/>
        </w:rPr>
        <w:t>（电子签章或盖章）</w:t>
      </w:r>
      <w:r>
        <w:rPr>
          <w:rFonts w:hint="eastAsia" w:ascii="仿宋" w:hAnsi="仿宋" w:cs="仿宋"/>
          <w:color w:val="000000"/>
        </w:rPr>
        <w:t>：</w:t>
      </w:r>
      <w:r>
        <w:rPr>
          <w:rFonts w:hint="eastAsia" w:ascii="仿宋" w:hAnsi="仿宋" w:cs="仿宋"/>
          <w:color w:val="000000"/>
          <w:u w:val="single"/>
        </w:rPr>
        <w:t xml:space="preserve">                       </w:t>
      </w:r>
    </w:p>
    <w:p>
      <w:pPr>
        <w:pStyle w:val="20"/>
        <w:snapToGrid w:val="0"/>
        <w:spacing w:line="360" w:lineRule="auto"/>
        <w:ind w:firstLine="420" w:firstLineChars="200"/>
        <w:rPr>
          <w:rFonts w:ascii="仿宋" w:hAnsi="仿宋" w:cs="仿宋"/>
          <w:color w:val="000000"/>
          <w:u w:val="single"/>
        </w:rPr>
      </w:pPr>
      <w:r>
        <w:rPr>
          <w:rFonts w:hint="eastAsia" w:ascii="仿宋" w:hAnsi="仿宋" w:cs="仿宋"/>
          <w:color w:val="000000"/>
        </w:rPr>
        <w:t>法定代表人或其授权代表（电子签章或签字）：</w:t>
      </w:r>
      <w:r>
        <w:rPr>
          <w:rFonts w:hint="eastAsia" w:ascii="仿宋" w:hAnsi="仿宋" w:cs="仿宋"/>
          <w:color w:val="000000"/>
          <w:u w:val="single"/>
        </w:rPr>
        <w:t xml:space="preserve">                       </w:t>
      </w: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 xml:space="preserve">日期：     年     月    日 </w:t>
      </w:r>
    </w:p>
    <w:p>
      <w:pPr>
        <w:adjustRightInd w:val="0"/>
        <w:snapToGrid w:val="0"/>
        <w:spacing w:line="360" w:lineRule="auto"/>
        <w:ind w:firstLine="422" w:firstLineChars="200"/>
        <w:jc w:val="left"/>
        <w:rPr>
          <w:rFonts w:ascii="宋体" w:hAnsi="宋体" w:cs="宋体"/>
          <w:b/>
          <w:color w:val="000000"/>
          <w:szCs w:val="21"/>
        </w:rPr>
      </w:pPr>
    </w:p>
    <w:p>
      <w:pPr>
        <w:adjustRightInd w:val="0"/>
        <w:snapToGrid w:val="0"/>
        <w:spacing w:line="360" w:lineRule="auto"/>
        <w:jc w:val="center"/>
        <w:outlineLvl w:val="2"/>
        <w:rPr>
          <w:rFonts w:ascii="宋体" w:hAnsi="宋体" w:cs="宋体"/>
          <w:b/>
          <w:color w:val="000000"/>
          <w:szCs w:val="21"/>
        </w:rPr>
      </w:pPr>
      <w:r>
        <w:rPr>
          <w:rFonts w:ascii="宋体" w:hAnsi="宋体" w:cs="宋体"/>
          <w:b/>
          <w:color w:val="000000"/>
          <w:szCs w:val="21"/>
        </w:rPr>
        <w:br w:type="page"/>
      </w:r>
      <w:bookmarkStart w:id="640" w:name="_Toc34335344"/>
      <w:bookmarkStart w:id="641" w:name="_Toc16271"/>
      <w:bookmarkStart w:id="642" w:name="_Toc502909064"/>
      <w:bookmarkStart w:id="643" w:name="_Toc65076593"/>
      <w:bookmarkStart w:id="644" w:name="_Toc80867967"/>
      <w:r>
        <w:rPr>
          <w:rFonts w:hint="eastAsia" w:ascii="宋体" w:hAnsi="宋体" w:cs="宋体"/>
          <w:b/>
          <w:color w:val="000000"/>
          <w:szCs w:val="21"/>
        </w:rPr>
        <w:t>3.5中小企业声明函</w:t>
      </w:r>
      <w:bookmarkEnd w:id="640"/>
      <w:bookmarkEnd w:id="641"/>
      <w:bookmarkEnd w:id="642"/>
      <w:bookmarkEnd w:id="643"/>
      <w:bookmarkEnd w:id="644"/>
    </w:p>
    <w:p>
      <w:pPr>
        <w:pStyle w:val="12"/>
        <w:spacing w:before="120"/>
        <w:ind w:firstLine="420"/>
      </w:pP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本公司（联合体）郑重声明，根据《政府采购促进中小企业发展管理办法》（财库﹝2020﹞46 号）的规定，本公司（联合体）参加</w:t>
      </w:r>
      <w:r>
        <w:rPr>
          <w:rFonts w:hint="eastAsia" w:ascii="宋体" w:hAnsi="宋体" w:cs="宋体"/>
          <w:color w:val="000000"/>
          <w:kern w:val="0"/>
          <w:szCs w:val="21"/>
          <w:u w:val="single"/>
          <w:lang w:bidi="ar"/>
        </w:rPr>
        <w:t xml:space="preserve"> </w:t>
      </w:r>
      <w:r>
        <w:rPr>
          <w:rFonts w:hint="eastAsia" w:ascii="宋体" w:hAnsi="宋体" w:cs="宋体"/>
          <w:i/>
          <w:iCs/>
          <w:color w:val="000000"/>
          <w:kern w:val="0"/>
          <w:szCs w:val="21"/>
          <w:u w:val="single"/>
          <w:lang w:bidi="ar"/>
        </w:rPr>
        <w:t xml:space="preserve">（单位名称） </w:t>
      </w:r>
      <w:r>
        <w:rPr>
          <w:rFonts w:hint="eastAsia" w:ascii="宋体" w:hAnsi="宋体" w:cs="宋体"/>
          <w:color w:val="000000"/>
          <w:kern w:val="0"/>
          <w:szCs w:val="21"/>
          <w:lang w:bidi="ar"/>
        </w:rPr>
        <w:t>的</w:t>
      </w:r>
      <w:r>
        <w:rPr>
          <w:rFonts w:hint="eastAsia" w:ascii="宋体" w:hAnsi="宋体" w:cs="宋体"/>
          <w:color w:val="000000"/>
          <w:kern w:val="0"/>
          <w:szCs w:val="21"/>
          <w:u w:val="single"/>
          <w:lang w:bidi="ar"/>
        </w:rPr>
        <w:t xml:space="preserve"> </w:t>
      </w:r>
      <w:r>
        <w:rPr>
          <w:rFonts w:hint="eastAsia" w:ascii="宋体" w:hAnsi="宋体" w:cs="宋体"/>
          <w:i/>
          <w:iCs/>
          <w:color w:val="000000"/>
          <w:kern w:val="0"/>
          <w:szCs w:val="21"/>
          <w:u w:val="single"/>
          <w:lang w:bidi="ar"/>
        </w:rPr>
        <w:t xml:space="preserve">（项目名称） </w:t>
      </w:r>
      <w:r>
        <w:rPr>
          <w:rFonts w:hint="eastAsia" w:ascii="宋体" w:hAnsi="宋体" w:cs="宋体"/>
          <w:color w:val="000000"/>
          <w:kern w:val="0"/>
          <w:szCs w:val="21"/>
          <w:lang w:bidi="ar"/>
        </w:rPr>
        <w:t xml:space="preserve">采购活动，工程的施工单位全部为符合政策要求的中小企业（或者：服务全部由符合政策要求的中小企业承接）。相关企业（含联合体中的中小企业、签订分包意向协议的中小企业）的具体情况如下： </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1.</w:t>
      </w:r>
      <w:r>
        <w:rPr>
          <w:rFonts w:hint="eastAsia" w:ascii="宋体" w:hAnsi="宋体" w:cs="宋体"/>
          <w:color w:val="000000"/>
          <w:kern w:val="0"/>
          <w:szCs w:val="21"/>
          <w:u w:val="single"/>
          <w:lang w:bidi="ar"/>
        </w:rPr>
        <w:t xml:space="preserve"> </w:t>
      </w:r>
      <w:r>
        <w:rPr>
          <w:rFonts w:hint="eastAsia" w:ascii="宋体" w:hAnsi="宋体" w:cs="宋体"/>
          <w:i/>
          <w:iCs/>
          <w:color w:val="000000"/>
          <w:kern w:val="0"/>
          <w:szCs w:val="21"/>
          <w:u w:val="single"/>
          <w:lang w:bidi="ar"/>
        </w:rPr>
        <w:t xml:space="preserve">（标的名称） </w:t>
      </w:r>
      <w:r>
        <w:rPr>
          <w:rFonts w:hint="eastAsia" w:ascii="宋体" w:hAnsi="宋体" w:cs="宋体"/>
          <w:color w:val="000000"/>
          <w:kern w:val="0"/>
          <w:szCs w:val="21"/>
          <w:lang w:bidi="ar"/>
        </w:rPr>
        <w:t>，属于</w:t>
      </w:r>
      <w:r>
        <w:rPr>
          <w:rFonts w:hint="eastAsia" w:ascii="宋体" w:hAnsi="宋体" w:cs="宋体"/>
          <w:color w:val="000000"/>
          <w:kern w:val="0"/>
          <w:szCs w:val="21"/>
          <w:u w:val="single"/>
          <w:lang w:bidi="ar"/>
        </w:rPr>
        <w:t xml:space="preserve"> </w:t>
      </w:r>
      <w:r>
        <w:rPr>
          <w:rFonts w:hint="eastAsia" w:ascii="宋体" w:hAnsi="宋体" w:cs="宋体"/>
          <w:i/>
          <w:iCs/>
          <w:color w:val="000000"/>
          <w:kern w:val="0"/>
          <w:szCs w:val="21"/>
          <w:u w:val="single"/>
          <w:lang w:bidi="ar"/>
        </w:rPr>
        <w:t xml:space="preserve">（采购文件中明确的所属行业） </w:t>
      </w:r>
      <w:r>
        <w:rPr>
          <w:rFonts w:hint="eastAsia" w:ascii="宋体" w:hAnsi="宋体" w:cs="宋体"/>
          <w:color w:val="000000"/>
          <w:kern w:val="0"/>
          <w:szCs w:val="21"/>
          <w:lang w:bidi="ar"/>
        </w:rPr>
        <w:t>；承建（承接）企业为</w:t>
      </w:r>
      <w:r>
        <w:rPr>
          <w:rFonts w:hint="eastAsia" w:ascii="宋体" w:hAnsi="宋体" w:cs="宋体"/>
          <w:color w:val="000000"/>
          <w:kern w:val="0"/>
          <w:szCs w:val="21"/>
          <w:u w:val="single"/>
          <w:lang w:bidi="ar"/>
        </w:rPr>
        <w:t xml:space="preserve"> </w:t>
      </w:r>
      <w:r>
        <w:rPr>
          <w:rFonts w:hint="eastAsia" w:ascii="宋体" w:hAnsi="宋体" w:cs="宋体"/>
          <w:i/>
          <w:iCs/>
          <w:color w:val="000000"/>
          <w:kern w:val="0"/>
          <w:szCs w:val="21"/>
          <w:u w:val="single"/>
          <w:lang w:bidi="ar"/>
        </w:rPr>
        <w:t xml:space="preserve">（企业名称） </w:t>
      </w:r>
      <w:r>
        <w:rPr>
          <w:rFonts w:hint="eastAsia" w:ascii="宋体" w:hAnsi="宋体" w:cs="宋体"/>
          <w:color w:val="000000"/>
          <w:kern w:val="0"/>
          <w:szCs w:val="21"/>
          <w:lang w:bidi="ar"/>
        </w:rPr>
        <w:t>，从业人员</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人，营业收入为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万元，资产总额为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万元，属于</w:t>
      </w:r>
      <w:r>
        <w:rPr>
          <w:rFonts w:hint="eastAsia" w:ascii="宋体" w:hAnsi="宋体" w:cs="宋体"/>
          <w:color w:val="000000"/>
          <w:kern w:val="0"/>
          <w:szCs w:val="21"/>
          <w:u w:val="single"/>
          <w:lang w:bidi="ar"/>
        </w:rPr>
        <w:t xml:space="preserve">  </w:t>
      </w:r>
      <w:r>
        <w:rPr>
          <w:rFonts w:hint="eastAsia" w:ascii="宋体" w:hAnsi="宋体" w:cs="宋体"/>
          <w:i/>
          <w:iCs/>
          <w:color w:val="000000"/>
          <w:kern w:val="0"/>
          <w:szCs w:val="21"/>
          <w:u w:val="single"/>
          <w:lang w:bidi="ar"/>
        </w:rPr>
        <w:t xml:space="preserve">（中型企业、小型企业、微型企业）  </w:t>
      </w:r>
      <w:r>
        <w:rPr>
          <w:rFonts w:hint="eastAsia" w:ascii="宋体" w:hAnsi="宋体" w:cs="宋体"/>
          <w:color w:val="000000"/>
          <w:kern w:val="0"/>
          <w:szCs w:val="21"/>
          <w:lang w:bidi="ar"/>
        </w:rPr>
        <w:t xml:space="preserve">； </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2.</w:t>
      </w:r>
      <w:r>
        <w:rPr>
          <w:rFonts w:hint="eastAsia" w:ascii="宋体" w:hAnsi="宋体" w:cs="宋体"/>
          <w:color w:val="000000"/>
          <w:kern w:val="0"/>
          <w:szCs w:val="21"/>
          <w:u w:val="single"/>
          <w:lang w:bidi="ar"/>
        </w:rPr>
        <w:t xml:space="preserve"> </w:t>
      </w:r>
      <w:r>
        <w:rPr>
          <w:rFonts w:hint="eastAsia" w:ascii="宋体" w:hAnsi="宋体" w:cs="宋体"/>
          <w:i/>
          <w:iCs/>
          <w:color w:val="000000"/>
          <w:kern w:val="0"/>
          <w:szCs w:val="21"/>
          <w:u w:val="single"/>
          <w:lang w:bidi="ar"/>
        </w:rPr>
        <w:t xml:space="preserve">（标的名称） </w:t>
      </w:r>
      <w:r>
        <w:rPr>
          <w:rFonts w:hint="eastAsia" w:ascii="宋体" w:hAnsi="宋体" w:cs="宋体"/>
          <w:color w:val="000000"/>
          <w:kern w:val="0"/>
          <w:szCs w:val="21"/>
          <w:lang w:bidi="ar"/>
        </w:rPr>
        <w:t>，属于</w:t>
      </w:r>
      <w:r>
        <w:rPr>
          <w:rFonts w:hint="eastAsia" w:ascii="宋体" w:hAnsi="宋体" w:cs="宋体"/>
          <w:color w:val="000000"/>
          <w:kern w:val="0"/>
          <w:szCs w:val="21"/>
          <w:u w:val="single"/>
          <w:lang w:bidi="ar"/>
        </w:rPr>
        <w:t xml:space="preserve"> </w:t>
      </w:r>
      <w:r>
        <w:rPr>
          <w:rFonts w:hint="eastAsia" w:ascii="宋体" w:hAnsi="宋体" w:cs="宋体"/>
          <w:i/>
          <w:iCs/>
          <w:color w:val="000000"/>
          <w:kern w:val="0"/>
          <w:szCs w:val="21"/>
          <w:u w:val="single"/>
          <w:lang w:bidi="ar"/>
        </w:rPr>
        <w:t xml:space="preserve">（采购文件中明确的所属行业） </w:t>
      </w:r>
      <w:r>
        <w:rPr>
          <w:rFonts w:hint="eastAsia" w:ascii="宋体" w:hAnsi="宋体" w:cs="宋体"/>
          <w:color w:val="000000"/>
          <w:kern w:val="0"/>
          <w:szCs w:val="21"/>
          <w:lang w:bidi="ar"/>
        </w:rPr>
        <w:t>；承建（承接）企业为</w:t>
      </w:r>
      <w:r>
        <w:rPr>
          <w:rFonts w:hint="eastAsia" w:ascii="宋体" w:hAnsi="宋体" w:cs="宋体"/>
          <w:color w:val="000000"/>
          <w:kern w:val="0"/>
          <w:szCs w:val="21"/>
          <w:u w:val="single"/>
          <w:lang w:bidi="ar"/>
        </w:rPr>
        <w:t xml:space="preserve"> </w:t>
      </w:r>
      <w:r>
        <w:rPr>
          <w:rFonts w:hint="eastAsia" w:ascii="宋体" w:hAnsi="宋体" w:cs="宋体"/>
          <w:i/>
          <w:iCs/>
          <w:color w:val="000000"/>
          <w:kern w:val="0"/>
          <w:szCs w:val="21"/>
          <w:u w:val="single"/>
          <w:lang w:bidi="ar"/>
        </w:rPr>
        <w:t xml:space="preserve">（企业名称） </w:t>
      </w:r>
      <w:r>
        <w:rPr>
          <w:rFonts w:hint="eastAsia" w:ascii="宋体" w:hAnsi="宋体" w:cs="宋体"/>
          <w:color w:val="000000"/>
          <w:kern w:val="0"/>
          <w:szCs w:val="21"/>
          <w:lang w:bidi="ar"/>
        </w:rPr>
        <w:t>，从业人员</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人，营业收入为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万元，资产总额为</w:t>
      </w:r>
      <w:r>
        <w:rPr>
          <w:rFonts w:hint="eastAsia" w:ascii="宋体" w:hAnsi="宋体" w:cs="宋体"/>
          <w:color w:val="000000"/>
          <w:kern w:val="0"/>
          <w:szCs w:val="21"/>
          <w:u w:val="single"/>
          <w:lang w:bidi="ar"/>
        </w:rPr>
        <w:t xml:space="preserve">     </w:t>
      </w:r>
      <w:r>
        <w:rPr>
          <w:rFonts w:hint="eastAsia" w:ascii="宋体" w:hAnsi="宋体" w:cs="宋体"/>
          <w:color w:val="000000"/>
          <w:kern w:val="0"/>
          <w:szCs w:val="21"/>
          <w:lang w:bidi="ar"/>
        </w:rPr>
        <w:t>万元，属于</w:t>
      </w:r>
      <w:r>
        <w:rPr>
          <w:rFonts w:hint="eastAsia" w:ascii="宋体" w:hAnsi="宋体" w:cs="宋体"/>
          <w:color w:val="000000"/>
          <w:kern w:val="0"/>
          <w:szCs w:val="21"/>
          <w:u w:val="single"/>
          <w:lang w:bidi="ar"/>
        </w:rPr>
        <w:t xml:space="preserve">   </w:t>
      </w:r>
      <w:r>
        <w:rPr>
          <w:rFonts w:hint="eastAsia" w:ascii="宋体" w:hAnsi="宋体" w:cs="宋体"/>
          <w:i/>
          <w:iCs/>
          <w:color w:val="000000"/>
          <w:kern w:val="0"/>
          <w:szCs w:val="21"/>
          <w:u w:val="single"/>
          <w:lang w:bidi="ar"/>
        </w:rPr>
        <w:t xml:space="preserve">（中型企业、 小型企业、微型企业）  </w:t>
      </w:r>
      <w:r>
        <w:rPr>
          <w:rFonts w:hint="eastAsia" w:ascii="宋体" w:hAnsi="宋体" w:cs="宋体"/>
          <w:color w:val="000000"/>
          <w:kern w:val="0"/>
          <w:szCs w:val="21"/>
          <w:lang w:bidi="ar"/>
        </w:rPr>
        <w:t xml:space="preserve">； </w:t>
      </w:r>
    </w:p>
    <w:p>
      <w:pPr>
        <w:widowControl/>
        <w:adjustRightInd w:val="0"/>
        <w:snapToGrid w:val="0"/>
        <w:spacing w:line="360" w:lineRule="auto"/>
        <w:ind w:firstLine="420" w:firstLineChars="200"/>
        <w:jc w:val="left"/>
        <w:rPr>
          <w:rFonts w:ascii="宋体" w:hAnsi="宋体" w:cs="宋体"/>
          <w:color w:val="000000"/>
          <w:kern w:val="0"/>
          <w:szCs w:val="21"/>
          <w:lang w:bidi="ar"/>
        </w:rPr>
      </w:pP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 xml:space="preserve">…… </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 xml:space="preserve">以上企业，不属于大企业的分支机构，不存在控股股东为大企业的情形，也不存在与大企业的负责人为同一人的情 形。 </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 xml:space="preserve">本企业对上述声明内容的真实性负责。如有虚假，将依法承担相应责任。 </w:t>
      </w:r>
    </w:p>
    <w:p>
      <w:pPr>
        <w:widowControl/>
        <w:adjustRightInd w:val="0"/>
        <w:snapToGrid w:val="0"/>
        <w:spacing w:line="360" w:lineRule="auto"/>
        <w:ind w:firstLine="420" w:firstLineChars="200"/>
        <w:jc w:val="left"/>
        <w:rPr>
          <w:rFonts w:ascii="宋体" w:hAnsi="宋体" w:cs="宋体"/>
          <w:color w:val="000000"/>
          <w:kern w:val="0"/>
          <w:szCs w:val="21"/>
          <w:lang w:bidi="ar"/>
        </w:rPr>
      </w:pPr>
    </w:p>
    <w:p>
      <w:pPr>
        <w:widowControl/>
        <w:adjustRightInd w:val="0"/>
        <w:snapToGrid w:val="0"/>
        <w:spacing w:line="360" w:lineRule="auto"/>
        <w:ind w:firstLine="420" w:firstLineChars="200"/>
        <w:jc w:val="left"/>
        <w:rPr>
          <w:rFonts w:ascii="宋体" w:hAnsi="宋体" w:cs="宋体"/>
          <w:color w:val="000000"/>
          <w:kern w:val="0"/>
          <w:szCs w:val="21"/>
          <w:lang w:bidi="ar"/>
        </w:rPr>
      </w:pP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 xml:space="preserve">企业名称（盖章）： </w:t>
      </w:r>
    </w:p>
    <w:p>
      <w:pPr>
        <w:widowControl/>
        <w:adjustRightInd w:val="0"/>
        <w:snapToGrid w:val="0"/>
        <w:spacing w:line="360" w:lineRule="auto"/>
        <w:ind w:firstLine="420" w:firstLineChars="200"/>
        <w:jc w:val="left"/>
        <w:rPr>
          <w:rFonts w:ascii="宋体" w:hAnsi="宋体" w:cs="宋体"/>
          <w:szCs w:val="21"/>
        </w:rPr>
      </w:pPr>
      <w:r>
        <w:rPr>
          <w:rFonts w:hint="eastAsia" w:ascii="宋体" w:hAnsi="宋体" w:cs="宋体"/>
          <w:color w:val="000000"/>
          <w:kern w:val="0"/>
          <w:szCs w:val="21"/>
          <w:lang w:bidi="ar"/>
        </w:rPr>
        <w:t>日 期：</w:t>
      </w:r>
    </w:p>
    <w:p>
      <w:pPr>
        <w:adjustRightInd w:val="0"/>
        <w:snapToGrid w:val="0"/>
        <w:spacing w:line="360" w:lineRule="auto"/>
        <w:rPr>
          <w:rFonts w:ascii="宋体" w:hAnsi="宋体" w:cs="宋体"/>
          <w:b/>
          <w:szCs w:val="21"/>
          <w:u w:val="single"/>
        </w:rPr>
      </w:pPr>
    </w:p>
    <w:p>
      <w:pPr>
        <w:adjustRightInd w:val="0"/>
        <w:snapToGrid w:val="0"/>
        <w:spacing w:line="360" w:lineRule="auto"/>
        <w:rPr>
          <w:rFonts w:ascii="宋体" w:hAnsi="宋体"/>
          <w:b/>
          <w:szCs w:val="21"/>
        </w:rPr>
      </w:pPr>
      <w:bookmarkStart w:id="645" w:name="_Hlk82176976"/>
      <w:r>
        <w:rPr>
          <w:rFonts w:ascii="宋体" w:hAnsi="宋体"/>
          <w:b/>
          <w:szCs w:val="21"/>
        </w:rPr>
        <w:t>注</w:t>
      </w:r>
      <w:r>
        <w:rPr>
          <w:rFonts w:hint="eastAsia" w:ascii="宋体" w:hAnsi="宋体"/>
          <w:b/>
          <w:szCs w:val="21"/>
        </w:rPr>
        <w:t>：</w:t>
      </w:r>
      <w:r>
        <w:rPr>
          <w:rFonts w:ascii="宋体" w:hAnsi="宋体"/>
          <w:b/>
          <w:szCs w:val="21"/>
        </w:rPr>
        <w:t>1、本次采购范围内所有</w:t>
      </w:r>
      <w:r>
        <w:rPr>
          <w:rFonts w:hint="eastAsia" w:ascii="宋体" w:hAnsi="宋体"/>
          <w:b/>
          <w:szCs w:val="21"/>
        </w:rPr>
        <w:t>服务的</w:t>
      </w:r>
      <w:r>
        <w:rPr>
          <w:rFonts w:ascii="宋体" w:hAnsi="宋体"/>
          <w:b/>
          <w:szCs w:val="21"/>
        </w:rPr>
        <w:t>承接</w:t>
      </w:r>
      <w:r>
        <w:rPr>
          <w:rFonts w:hint="eastAsia" w:ascii="宋体" w:hAnsi="宋体"/>
          <w:b/>
          <w:szCs w:val="21"/>
        </w:rPr>
        <w:t>企业</w:t>
      </w:r>
      <w:r>
        <w:rPr>
          <w:rFonts w:ascii="宋体" w:hAnsi="宋体"/>
          <w:b/>
          <w:szCs w:val="21"/>
        </w:rPr>
        <w:t>均为小微企业的</w:t>
      </w:r>
      <w:r>
        <w:rPr>
          <w:rFonts w:hint="eastAsia" w:ascii="宋体" w:hAnsi="宋体"/>
          <w:b/>
          <w:szCs w:val="21"/>
        </w:rPr>
        <w:t>供应商</w:t>
      </w:r>
      <w:r>
        <w:rPr>
          <w:rFonts w:ascii="宋体" w:hAnsi="宋体"/>
          <w:b/>
          <w:szCs w:val="21"/>
        </w:rPr>
        <w:t>参与</w:t>
      </w:r>
      <w:r>
        <w:rPr>
          <w:rFonts w:hint="eastAsia" w:ascii="宋体" w:hAnsi="宋体"/>
          <w:b/>
          <w:szCs w:val="21"/>
        </w:rPr>
        <w:t>磋商</w:t>
      </w:r>
      <w:r>
        <w:rPr>
          <w:rFonts w:ascii="宋体" w:hAnsi="宋体"/>
          <w:b/>
          <w:szCs w:val="21"/>
        </w:rPr>
        <w:t>时（小微企业为大企业的分支机构的、控股股东为大企业的或存在与大企业的负责人为同一人的除外），应按上述格式出具《中小企业声明函》；否则不得享受相关中小企业扶持政策。</w:t>
      </w:r>
    </w:p>
    <w:p>
      <w:pPr>
        <w:numPr>
          <w:ilvl w:val="0"/>
          <w:numId w:val="8"/>
        </w:numPr>
        <w:adjustRightInd w:val="0"/>
        <w:snapToGrid w:val="0"/>
        <w:spacing w:line="360" w:lineRule="auto"/>
        <w:rPr>
          <w:rFonts w:ascii="宋体" w:hAnsi="宋体"/>
          <w:b/>
          <w:szCs w:val="21"/>
        </w:rPr>
      </w:pPr>
      <w:r>
        <w:rPr>
          <w:rFonts w:hint="eastAsia" w:ascii="宋体" w:hAnsi="宋体"/>
          <w:b/>
          <w:szCs w:val="21"/>
        </w:rPr>
        <w:t>供应商</w:t>
      </w:r>
      <w:r>
        <w:rPr>
          <w:rFonts w:ascii="宋体" w:hAnsi="宋体"/>
          <w:b/>
          <w:szCs w:val="21"/>
        </w:rPr>
        <w:t>按照本办法规定提供声明函内容不实的，属于提供虚假材料谋取中标、成交，依照《中华人民共和国政府采购法》等国家有关规定追究相应责任。</w:t>
      </w:r>
      <w:bookmarkEnd w:id="645"/>
    </w:p>
    <w:p>
      <w:pPr>
        <w:adjustRightInd w:val="0"/>
        <w:snapToGrid w:val="0"/>
        <w:spacing w:line="360" w:lineRule="auto"/>
        <w:rPr>
          <w:rFonts w:ascii="宋体" w:hAnsi="宋体"/>
          <w:bCs/>
          <w:szCs w:val="21"/>
        </w:rPr>
      </w:pPr>
      <w:r>
        <w:rPr>
          <w:rFonts w:hint="eastAsia" w:ascii="宋体" w:hAnsi="宋体"/>
          <w:b/>
          <w:szCs w:val="21"/>
        </w:rPr>
        <w:t>3</w:t>
      </w:r>
      <w:r>
        <w:rPr>
          <w:rFonts w:ascii="宋体" w:hAnsi="宋体"/>
          <w:b/>
          <w:szCs w:val="21"/>
        </w:rPr>
        <w:t>、本项目所属《关于印发中小企业划型标准规定的通知》（工信部联企业〔2011〕300号）中所列“</w:t>
      </w:r>
      <w:r>
        <w:rPr>
          <w:rFonts w:hint="eastAsia" w:ascii="宋体" w:hAnsi="宋体"/>
          <w:b/>
          <w:szCs w:val="21"/>
        </w:rPr>
        <w:t>软件和信息技术服务业”</w:t>
      </w:r>
      <w:r>
        <w:rPr>
          <w:rFonts w:ascii="宋体" w:hAnsi="宋体"/>
          <w:b/>
          <w:szCs w:val="21"/>
        </w:rPr>
        <w:t>。</w:t>
      </w:r>
      <w:r>
        <w:rPr>
          <w:rFonts w:ascii="宋体" w:hAnsi="宋体"/>
          <w:b/>
          <w:szCs w:val="21"/>
        </w:rPr>
        <w:br w:type="page"/>
      </w:r>
      <w:r>
        <w:rPr>
          <w:rFonts w:hint="eastAsia" w:ascii="宋体" w:hAnsi="宋体"/>
          <w:bCs/>
          <w:szCs w:val="21"/>
        </w:rPr>
        <w:t>附件：</w:t>
      </w:r>
    </w:p>
    <w:p>
      <w:pPr>
        <w:adjustRightInd w:val="0"/>
        <w:snapToGrid w:val="0"/>
        <w:spacing w:line="360" w:lineRule="auto"/>
        <w:rPr>
          <w:rFonts w:ascii="宋体" w:hAnsi="宋体"/>
          <w:bCs/>
          <w:szCs w:val="21"/>
        </w:rPr>
      </w:pPr>
      <w:r>
        <w:rPr>
          <w:rFonts w:hint="eastAsia" w:ascii="宋体" w:hAnsi="宋体"/>
          <w:bCs/>
          <w:szCs w:val="21"/>
        </w:rPr>
        <w:t>《关于印发中小企业划型标准规定的通知》（工信部联企业〔2011〕300号）中小企业划型标准规定节选：</w:t>
      </w:r>
    </w:p>
    <w:p>
      <w:pPr>
        <w:adjustRightInd w:val="0"/>
        <w:snapToGrid w:val="0"/>
        <w:spacing w:line="360" w:lineRule="auto"/>
        <w:rPr>
          <w:rFonts w:ascii="宋体" w:hAnsi="宋体"/>
          <w:bCs/>
          <w:szCs w:val="21"/>
        </w:rPr>
      </w:pPr>
      <w:r>
        <w:rPr>
          <w:rFonts w:hint="eastAsia" w:ascii="宋体" w:hAnsi="宋体"/>
          <w:bCs/>
          <w:szCs w:val="21"/>
        </w:rPr>
        <w:t>四、各行业划型标准为：</w:t>
      </w:r>
    </w:p>
    <w:p>
      <w:pPr>
        <w:adjustRightInd w:val="0"/>
        <w:snapToGrid w:val="0"/>
        <w:spacing w:line="360" w:lineRule="auto"/>
        <w:rPr>
          <w:rFonts w:ascii="宋体" w:hAnsi="宋体"/>
          <w:bCs/>
          <w:szCs w:val="21"/>
        </w:rPr>
      </w:pPr>
      <w:r>
        <w:rPr>
          <w:rFonts w:hint="eastAsia" w:ascii="宋体" w:hAnsi="宋体"/>
          <w:bCs/>
          <w:szCs w:val="21"/>
        </w:rPr>
        <w:t>（一）农、林、牧、渔业。营业收入20000万元以下的为中小微型企业。其中，营业收入500万元及以上的为中型企业，营业收入50万元及以上的为小型企业，营业收入50万元以下的为微型企业。</w:t>
      </w:r>
    </w:p>
    <w:p>
      <w:pPr>
        <w:adjustRightInd w:val="0"/>
        <w:snapToGrid w:val="0"/>
        <w:spacing w:line="360" w:lineRule="auto"/>
        <w:rPr>
          <w:rFonts w:ascii="宋体" w:hAnsi="宋体"/>
          <w:bCs/>
          <w:szCs w:val="21"/>
        </w:rPr>
      </w:pPr>
      <w:r>
        <w:rPr>
          <w:rFonts w:hint="eastAsia" w:ascii="宋体" w:hAnsi="宋体"/>
          <w:bCs/>
          <w:szCs w:val="21"/>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adjustRightInd w:val="0"/>
        <w:snapToGrid w:val="0"/>
        <w:spacing w:line="360" w:lineRule="auto"/>
        <w:rPr>
          <w:rFonts w:ascii="宋体" w:hAnsi="宋体"/>
          <w:bCs/>
          <w:szCs w:val="21"/>
        </w:rPr>
      </w:pPr>
      <w:r>
        <w:rPr>
          <w:rFonts w:hint="eastAsia" w:ascii="宋体" w:hAnsi="宋体"/>
          <w:bCs/>
          <w:szCs w:val="21"/>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adjustRightInd w:val="0"/>
        <w:snapToGrid w:val="0"/>
        <w:spacing w:line="360" w:lineRule="auto"/>
        <w:rPr>
          <w:rFonts w:ascii="宋体" w:hAnsi="宋体"/>
          <w:bCs/>
          <w:szCs w:val="21"/>
        </w:rPr>
      </w:pPr>
      <w:r>
        <w:rPr>
          <w:rFonts w:hint="eastAsia" w:ascii="宋体" w:hAnsi="宋体"/>
          <w:bCs/>
          <w:szCs w:val="21"/>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adjustRightInd w:val="0"/>
        <w:snapToGrid w:val="0"/>
        <w:spacing w:line="360" w:lineRule="auto"/>
        <w:rPr>
          <w:rFonts w:ascii="宋体" w:hAnsi="宋体"/>
          <w:bCs/>
          <w:szCs w:val="21"/>
        </w:rPr>
      </w:pPr>
      <w:r>
        <w:rPr>
          <w:rFonts w:hint="eastAsia" w:ascii="宋体" w:hAnsi="宋体"/>
          <w:bCs/>
          <w:szCs w:val="21"/>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adjustRightInd w:val="0"/>
        <w:snapToGrid w:val="0"/>
        <w:spacing w:line="360" w:lineRule="auto"/>
        <w:rPr>
          <w:rFonts w:ascii="宋体" w:hAnsi="宋体"/>
          <w:bCs/>
          <w:szCs w:val="21"/>
        </w:rPr>
      </w:pPr>
      <w:r>
        <w:rPr>
          <w:rFonts w:hint="eastAsia" w:ascii="宋体" w:hAnsi="宋体"/>
          <w:bCs/>
          <w:szCs w:val="21"/>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adjustRightInd w:val="0"/>
        <w:snapToGrid w:val="0"/>
        <w:spacing w:line="360" w:lineRule="auto"/>
        <w:rPr>
          <w:rFonts w:ascii="宋体" w:hAnsi="宋体"/>
          <w:bCs/>
          <w:szCs w:val="21"/>
        </w:rPr>
      </w:pPr>
      <w:r>
        <w:rPr>
          <w:rFonts w:hint="eastAsia" w:ascii="宋体" w:hAnsi="宋体"/>
          <w:bCs/>
          <w:szCs w:val="21"/>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adjustRightInd w:val="0"/>
        <w:snapToGrid w:val="0"/>
        <w:spacing w:line="360" w:lineRule="auto"/>
        <w:rPr>
          <w:rFonts w:ascii="宋体" w:hAnsi="宋体"/>
          <w:bCs/>
          <w:szCs w:val="21"/>
        </w:rPr>
      </w:pPr>
      <w:r>
        <w:rPr>
          <w:rFonts w:hint="eastAsia" w:ascii="宋体" w:hAnsi="宋体"/>
          <w:bCs/>
          <w:szCs w:val="21"/>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adjustRightInd w:val="0"/>
        <w:snapToGrid w:val="0"/>
        <w:spacing w:line="360" w:lineRule="auto"/>
        <w:rPr>
          <w:rFonts w:ascii="宋体" w:hAnsi="宋体"/>
          <w:bCs/>
          <w:szCs w:val="21"/>
        </w:rPr>
      </w:pPr>
      <w:r>
        <w:rPr>
          <w:rFonts w:hint="eastAsia" w:ascii="宋体" w:hAnsi="宋体"/>
          <w:bCs/>
          <w:szCs w:val="21"/>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auto"/>
        <w:rPr>
          <w:rFonts w:ascii="宋体" w:hAnsi="宋体"/>
          <w:bCs/>
          <w:szCs w:val="21"/>
        </w:rPr>
      </w:pPr>
      <w:r>
        <w:rPr>
          <w:rFonts w:hint="eastAsia" w:ascii="宋体" w:hAnsi="宋体"/>
          <w:bCs/>
          <w:szCs w:val="21"/>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adjustRightInd w:val="0"/>
        <w:snapToGrid w:val="0"/>
        <w:spacing w:line="360" w:lineRule="auto"/>
        <w:rPr>
          <w:rFonts w:ascii="宋体" w:hAnsi="宋体"/>
          <w:bCs/>
          <w:szCs w:val="21"/>
        </w:rPr>
      </w:pPr>
      <w:r>
        <w:rPr>
          <w:rFonts w:hint="eastAsia" w:ascii="宋体" w:hAnsi="宋体"/>
          <w:bCs/>
          <w:szCs w:val="21"/>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adjustRightInd w:val="0"/>
        <w:snapToGrid w:val="0"/>
        <w:spacing w:line="360" w:lineRule="auto"/>
        <w:rPr>
          <w:rFonts w:ascii="宋体" w:hAnsi="宋体"/>
          <w:bCs/>
          <w:szCs w:val="21"/>
        </w:rPr>
      </w:pPr>
      <w:r>
        <w:rPr>
          <w:rFonts w:hint="eastAsia" w:ascii="宋体" w:hAnsi="宋体"/>
          <w:bCs/>
          <w:szCs w:val="21"/>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adjustRightInd w:val="0"/>
        <w:snapToGrid w:val="0"/>
        <w:spacing w:line="360" w:lineRule="auto"/>
        <w:rPr>
          <w:rFonts w:ascii="宋体" w:hAnsi="宋体"/>
          <w:bCs/>
          <w:szCs w:val="21"/>
        </w:rPr>
      </w:pPr>
      <w:r>
        <w:rPr>
          <w:rFonts w:hint="eastAsia" w:ascii="宋体" w:hAnsi="宋体"/>
          <w:bCs/>
          <w:szCs w:val="21"/>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adjustRightInd w:val="0"/>
        <w:snapToGrid w:val="0"/>
        <w:spacing w:line="360" w:lineRule="auto"/>
        <w:rPr>
          <w:rFonts w:ascii="宋体" w:hAnsi="宋体"/>
          <w:bCs/>
          <w:szCs w:val="21"/>
        </w:rPr>
      </w:pPr>
      <w:r>
        <w:rPr>
          <w:rFonts w:hint="eastAsia" w:ascii="宋体" w:hAnsi="宋体"/>
          <w:bCs/>
          <w:szCs w:val="21"/>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adjustRightInd w:val="0"/>
        <w:snapToGrid w:val="0"/>
        <w:spacing w:line="360" w:lineRule="auto"/>
        <w:rPr>
          <w:rFonts w:ascii="宋体" w:hAnsi="宋体"/>
          <w:bCs/>
          <w:szCs w:val="21"/>
        </w:rPr>
      </w:pPr>
      <w:r>
        <w:rPr>
          <w:rFonts w:hint="eastAsia" w:ascii="宋体" w:hAnsi="宋体"/>
          <w:bCs/>
          <w:szCs w:val="21"/>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adjustRightInd w:val="0"/>
        <w:snapToGrid w:val="0"/>
        <w:spacing w:line="360" w:lineRule="auto"/>
        <w:rPr>
          <w:rFonts w:ascii="宋体" w:hAnsi="宋体" w:cs="宋体"/>
          <w:bCs/>
          <w:szCs w:val="21"/>
        </w:rPr>
      </w:pPr>
      <w:r>
        <w:rPr>
          <w:rFonts w:hint="eastAsia" w:ascii="宋体" w:hAnsi="宋体"/>
          <w:bCs/>
          <w:szCs w:val="21"/>
        </w:rPr>
        <w:t>（十六）其他未列明行业。从业人员300人以下的为中小微型企业。其中，从业人员100人及以上的为中型企业；从业人员10人及以上的为小型企业；从业人员10人以下的为微型企业。</w:t>
      </w:r>
    </w:p>
    <w:p>
      <w:pPr>
        <w:pStyle w:val="2"/>
        <w:adjustRightInd w:val="0"/>
        <w:snapToGrid w:val="0"/>
        <w:spacing w:after="0" w:line="360" w:lineRule="auto"/>
        <w:rPr>
          <w:rFonts w:ascii="宋体" w:hAnsi="宋体" w:cs="宋体"/>
          <w:bCs/>
          <w:color w:val="000000"/>
        </w:rPr>
      </w:pPr>
    </w:p>
    <w:p>
      <w:pPr>
        <w:adjustRightInd w:val="0"/>
        <w:snapToGrid w:val="0"/>
        <w:spacing w:line="360" w:lineRule="auto"/>
        <w:jc w:val="center"/>
        <w:outlineLvl w:val="2"/>
        <w:rPr>
          <w:rFonts w:ascii="宋体" w:hAnsi="宋体" w:cs="宋体"/>
          <w:b/>
          <w:color w:val="000000"/>
          <w:szCs w:val="21"/>
        </w:rPr>
      </w:pPr>
      <w:r>
        <w:rPr>
          <w:rFonts w:hint="eastAsia" w:ascii="宋体" w:hAnsi="宋体" w:cs="宋体"/>
          <w:color w:val="000000"/>
          <w:sz w:val="24"/>
        </w:rPr>
        <w:br w:type="page"/>
      </w:r>
      <w:bookmarkStart w:id="646" w:name="_Toc11790"/>
      <w:r>
        <w:rPr>
          <w:rFonts w:hint="eastAsia" w:ascii="宋体" w:hAnsi="宋体" w:cs="宋体"/>
          <w:b/>
          <w:color w:val="000000"/>
          <w:szCs w:val="21"/>
        </w:rPr>
        <w:t>3.6监狱企业声明函</w:t>
      </w:r>
      <w:bookmarkEnd w:id="646"/>
    </w:p>
    <w:p>
      <w:pPr>
        <w:adjustRightInd w:val="0"/>
        <w:snapToGrid w:val="0"/>
        <w:spacing w:line="360" w:lineRule="auto"/>
        <w:jc w:val="center"/>
        <w:rPr>
          <w:rFonts w:ascii="宋体" w:hAnsi="宋体" w:cs="宋体"/>
          <w:szCs w:val="21"/>
        </w:rPr>
      </w:pPr>
      <w:r>
        <w:rPr>
          <w:rFonts w:hint="eastAsia" w:ascii="宋体" w:hAnsi="宋体" w:cs="宋体"/>
          <w:szCs w:val="21"/>
        </w:rPr>
        <w:t>（不属于监狱企业的无需提供）</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根据《财政部 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adjustRightInd w:val="0"/>
        <w:snapToGrid w:val="0"/>
        <w:spacing w:line="360" w:lineRule="auto"/>
        <w:ind w:firstLine="420" w:firstLineChars="200"/>
        <w:rPr>
          <w:rStyle w:val="90"/>
          <w:rFonts w:hint="default" w:cs="宋体"/>
          <w:color w:val="auto"/>
          <w:sz w:val="21"/>
          <w:szCs w:val="21"/>
        </w:rPr>
      </w:pPr>
      <w:r>
        <w:rPr>
          <w:rFonts w:hint="eastAsia" w:ascii="宋体" w:hAnsi="宋体" w:cs="宋体"/>
          <w:szCs w:val="21"/>
        </w:rPr>
        <w:t>监狱企业参加政府采购活动时，应当提供由省级以上监狱管理局、戒毒管理局（含新疆生产建设兵团）出具的属于监狱企业的证明文件。</w:t>
      </w:r>
    </w:p>
    <w:p>
      <w:pPr>
        <w:adjustRightInd w:val="0"/>
        <w:snapToGrid w:val="0"/>
        <w:spacing w:line="360" w:lineRule="auto"/>
        <w:ind w:firstLine="420" w:firstLineChars="200"/>
        <w:rPr>
          <w:rStyle w:val="90"/>
          <w:rFonts w:hint="default" w:cs="宋体"/>
          <w:color w:val="auto"/>
          <w:sz w:val="21"/>
          <w:szCs w:val="21"/>
        </w:rPr>
      </w:pPr>
    </w:p>
    <w:p>
      <w:pPr>
        <w:adjustRightInd w:val="0"/>
        <w:snapToGrid w:val="0"/>
        <w:spacing w:line="360" w:lineRule="auto"/>
        <w:rPr>
          <w:rFonts w:ascii="宋体" w:hAnsi="宋体" w:cs="宋体"/>
          <w:szCs w:val="21"/>
          <w:u w:val="single"/>
        </w:rPr>
      </w:pPr>
    </w:p>
    <w:p>
      <w:pPr>
        <w:adjustRightInd w:val="0"/>
        <w:snapToGrid w:val="0"/>
        <w:spacing w:line="360" w:lineRule="auto"/>
        <w:rPr>
          <w:rFonts w:ascii="宋体" w:hAnsi="宋体" w:cs="宋体"/>
          <w:b/>
          <w:szCs w:val="21"/>
        </w:rPr>
      </w:pPr>
      <w:r>
        <w:rPr>
          <w:rFonts w:hint="eastAsia" w:ascii="宋体" w:hAnsi="宋体" w:cs="宋体"/>
          <w:b/>
          <w:szCs w:val="21"/>
        </w:rPr>
        <w:t>注：符合条件的监狱企业在参加政府采购活动时，应当按《财政部 司法部关于政府采购支持监狱企业发展有关问题的通知》（财库[2014]68号）提供规定的《监狱企业证明文件》，并对提供的证明文件真实性负责。</w:t>
      </w:r>
    </w:p>
    <w:p>
      <w:pPr>
        <w:adjustRightInd w:val="0"/>
        <w:snapToGrid w:val="0"/>
        <w:spacing w:line="360" w:lineRule="auto"/>
        <w:jc w:val="center"/>
        <w:outlineLvl w:val="2"/>
        <w:rPr>
          <w:rFonts w:ascii="宋体" w:hAnsi="宋体" w:cs="宋体"/>
          <w:b/>
          <w:color w:val="000000"/>
          <w:szCs w:val="21"/>
        </w:rPr>
      </w:pPr>
      <w:r>
        <w:rPr>
          <w:rFonts w:hint="eastAsia" w:ascii="宋体" w:hAnsi="宋体" w:cs="宋体"/>
          <w:szCs w:val="21"/>
        </w:rPr>
        <w:br w:type="page"/>
      </w:r>
      <w:bookmarkStart w:id="647" w:name="_Toc34335346"/>
      <w:bookmarkStart w:id="648" w:name="_Toc80867969"/>
      <w:bookmarkStart w:id="649" w:name="_Toc16604"/>
      <w:bookmarkStart w:id="650" w:name="OLE_LINK14"/>
      <w:bookmarkStart w:id="651" w:name="OLE_LINK13"/>
      <w:r>
        <w:rPr>
          <w:rFonts w:hint="eastAsia" w:ascii="宋体" w:hAnsi="宋体" w:cs="宋体"/>
          <w:b/>
          <w:color w:val="000000"/>
          <w:szCs w:val="21"/>
        </w:rPr>
        <w:t>3.7残疾人福利性单位声明函</w:t>
      </w:r>
      <w:bookmarkEnd w:id="647"/>
      <w:bookmarkEnd w:id="648"/>
      <w:bookmarkEnd w:id="649"/>
    </w:p>
    <w:bookmarkEnd w:id="650"/>
    <w:bookmarkEnd w:id="651"/>
    <w:p>
      <w:pPr>
        <w:adjustRightInd w:val="0"/>
        <w:snapToGrid w:val="0"/>
        <w:spacing w:line="360" w:lineRule="auto"/>
        <w:jc w:val="center"/>
        <w:rPr>
          <w:rFonts w:ascii="宋体" w:hAnsi="宋体" w:cs="宋体"/>
          <w:b/>
          <w:spacing w:val="6"/>
          <w:szCs w:val="21"/>
        </w:rPr>
      </w:pPr>
      <w:r>
        <w:rPr>
          <w:rFonts w:hint="eastAsia" w:ascii="宋体" w:hAnsi="宋体" w:cs="宋体"/>
          <w:szCs w:val="21"/>
        </w:rPr>
        <w:t>（不属于残疾人福利性单位的无需填写）</w:t>
      </w:r>
    </w:p>
    <w:p>
      <w:pPr>
        <w:adjustRightInd w:val="0"/>
        <w:snapToGrid w:val="0"/>
        <w:spacing w:line="360" w:lineRule="auto"/>
        <w:ind w:firstLine="444" w:firstLineChars="200"/>
        <w:rPr>
          <w:rFonts w:ascii="宋体" w:hAnsi="宋体" w:cs="宋体"/>
          <w:spacing w:val="6"/>
          <w:szCs w:val="21"/>
        </w:rPr>
      </w:pPr>
      <w:r>
        <w:rPr>
          <w:rFonts w:hint="eastAsia" w:ascii="宋体" w:hAnsi="宋体" w:cs="宋体"/>
          <w:spacing w:val="6"/>
          <w:szCs w:val="21"/>
        </w:rPr>
        <w:t>本单位郑重声明，根据《财政部 民政部 中国残疾人联合会关于促进残疾人就业政府采购政策的通知》（财库</w:t>
      </w:r>
      <w:r>
        <w:rPr>
          <w:rFonts w:hint="eastAsia" w:ascii="宋体" w:hAnsi="宋体" w:cs="宋体"/>
          <w:szCs w:val="21"/>
        </w:rPr>
        <w:t>〔2017〕 141</w:t>
      </w:r>
      <w:r>
        <w:rPr>
          <w:rFonts w:hint="eastAsia" w:ascii="宋体" w:hAnsi="宋体" w:cs="宋体"/>
          <w:spacing w:val="6"/>
          <w:szCs w:val="21"/>
        </w:rPr>
        <w:t>号）的规定，本单位为符合条件的残疾人福利性单位，且本单位参加_____单位的_____项目采购活动提供本单位制造的货物（由本单位承担工程/提供服务），或者提供其他残疾人福利性单位制造的货物（不包括使用非残疾人福利性单位注册商标的货物）。</w:t>
      </w:r>
    </w:p>
    <w:p>
      <w:pPr>
        <w:adjustRightInd w:val="0"/>
        <w:snapToGrid w:val="0"/>
        <w:spacing w:line="360" w:lineRule="auto"/>
        <w:ind w:firstLine="444" w:firstLineChars="200"/>
        <w:rPr>
          <w:rFonts w:ascii="宋体" w:hAnsi="宋体" w:cs="宋体"/>
          <w:spacing w:val="6"/>
          <w:szCs w:val="21"/>
        </w:rPr>
      </w:pPr>
      <w:r>
        <w:rPr>
          <w:rFonts w:hint="eastAsia" w:ascii="宋体" w:hAnsi="宋体" w:cs="宋体"/>
          <w:spacing w:val="6"/>
          <w:szCs w:val="21"/>
        </w:rPr>
        <w:t>本单位对上述声明的真实性负责。如有虚假，将依法承担相应责任。</w:t>
      </w:r>
    </w:p>
    <w:p>
      <w:pPr>
        <w:adjustRightInd w:val="0"/>
        <w:snapToGrid w:val="0"/>
        <w:spacing w:line="360" w:lineRule="auto"/>
        <w:ind w:firstLine="444" w:firstLineChars="200"/>
        <w:rPr>
          <w:rFonts w:ascii="宋体" w:hAnsi="宋体"/>
          <w:spacing w:val="6"/>
          <w:szCs w:val="21"/>
        </w:rPr>
      </w:pPr>
    </w:p>
    <w:p>
      <w:pPr>
        <w:adjustRightInd w:val="0"/>
        <w:snapToGrid w:val="0"/>
        <w:spacing w:line="360" w:lineRule="auto"/>
        <w:rPr>
          <w:rFonts w:hAnsi="宋体"/>
          <w:b/>
          <w:bCs/>
        </w:rPr>
      </w:pPr>
    </w:p>
    <w:p>
      <w:pPr>
        <w:adjustRightInd w:val="0"/>
        <w:snapToGrid w:val="0"/>
        <w:spacing w:line="360" w:lineRule="auto"/>
        <w:rPr>
          <w:szCs w:val="21"/>
        </w:rPr>
      </w:pPr>
      <w:r>
        <w:rPr>
          <w:rFonts w:hint="eastAsia"/>
          <w:szCs w:val="21"/>
        </w:rPr>
        <w:t>供应商名称（电子签章或盖章）：________________________</w:t>
      </w:r>
    </w:p>
    <w:p>
      <w:pPr>
        <w:adjustRightInd w:val="0"/>
        <w:snapToGrid w:val="0"/>
        <w:spacing w:line="360" w:lineRule="auto"/>
        <w:rPr>
          <w:szCs w:val="21"/>
        </w:rPr>
      </w:pPr>
      <w:r>
        <w:rPr>
          <w:rFonts w:hint="eastAsia"/>
          <w:szCs w:val="21"/>
        </w:rPr>
        <w:t>法定代表人或其授权代理人（</w:t>
      </w:r>
      <w:r>
        <w:rPr>
          <w:rFonts w:hint="eastAsia" w:ascii="仿宋" w:hAnsi="仿宋" w:cs="仿宋"/>
          <w:color w:val="000000"/>
          <w:szCs w:val="21"/>
        </w:rPr>
        <w:t>电子签章或签字</w:t>
      </w:r>
      <w:r>
        <w:rPr>
          <w:rFonts w:hint="eastAsia"/>
          <w:szCs w:val="21"/>
        </w:rPr>
        <w:t>）：__________</w:t>
      </w:r>
    </w:p>
    <w:p>
      <w:pPr>
        <w:adjustRightInd w:val="0"/>
        <w:snapToGrid w:val="0"/>
        <w:spacing w:line="360" w:lineRule="auto"/>
        <w:rPr>
          <w:szCs w:val="21"/>
        </w:rPr>
      </w:pPr>
      <w:r>
        <w:rPr>
          <w:rFonts w:hint="eastAsia"/>
          <w:szCs w:val="21"/>
        </w:rPr>
        <w:t>日期：______年_____月_____日</w:t>
      </w:r>
    </w:p>
    <w:p>
      <w:pPr>
        <w:tabs>
          <w:tab w:val="left" w:pos="4860"/>
        </w:tabs>
        <w:adjustRightInd w:val="0"/>
        <w:snapToGrid w:val="0"/>
        <w:spacing w:line="360" w:lineRule="auto"/>
        <w:jc w:val="left"/>
        <w:rPr>
          <w:rFonts w:ascii="宋体" w:hAnsi="宋体"/>
          <w:spacing w:val="6"/>
          <w:szCs w:val="21"/>
        </w:rPr>
      </w:pPr>
    </w:p>
    <w:p>
      <w:pPr>
        <w:adjustRightInd w:val="0"/>
        <w:snapToGrid w:val="0"/>
        <w:spacing w:line="360" w:lineRule="auto"/>
        <w:rPr>
          <w:rFonts w:ascii="宋体" w:hAnsi="宋体" w:cs="宋体"/>
          <w:b/>
          <w:szCs w:val="21"/>
        </w:rPr>
      </w:pPr>
      <w:r>
        <w:rPr>
          <w:rFonts w:ascii="宋体" w:hAnsi="宋体"/>
          <w:b/>
          <w:spacing w:val="6"/>
          <w:szCs w:val="21"/>
        </w:rPr>
        <w:t>注</w:t>
      </w:r>
      <w:r>
        <w:rPr>
          <w:rFonts w:hint="eastAsia" w:ascii="宋体" w:hAnsi="宋体"/>
          <w:b/>
          <w:spacing w:val="6"/>
          <w:szCs w:val="21"/>
        </w:rPr>
        <w:t>：符合条件的残疾人福利性单位在参加政府采购活动时，应当</w:t>
      </w:r>
      <w:r>
        <w:rPr>
          <w:rFonts w:hint="eastAsia" w:ascii="宋体" w:hAnsi="宋体" w:cs="宋体"/>
          <w:b/>
          <w:szCs w:val="21"/>
        </w:rPr>
        <w:t>按《三部门联合发布关于促进残疾人就业政府采购政策的通知》（财库〔</w:t>
      </w:r>
      <w:r>
        <w:rPr>
          <w:rFonts w:ascii="宋体" w:hAnsi="宋体" w:cs="宋体"/>
          <w:b/>
          <w:szCs w:val="21"/>
        </w:rPr>
        <w:t>2017</w:t>
      </w:r>
      <w:r>
        <w:rPr>
          <w:rFonts w:hint="eastAsia" w:ascii="宋体" w:hAnsi="宋体" w:cs="宋体"/>
          <w:b/>
          <w:szCs w:val="21"/>
        </w:rPr>
        <w:t>〕</w:t>
      </w:r>
      <w:r>
        <w:rPr>
          <w:rFonts w:ascii="宋体" w:hAnsi="宋体" w:cs="宋体"/>
          <w:b/>
          <w:szCs w:val="21"/>
        </w:rPr>
        <w:t>141</w:t>
      </w:r>
      <w:r>
        <w:rPr>
          <w:rFonts w:hint="eastAsia" w:ascii="宋体" w:hAnsi="宋体" w:cs="宋体"/>
          <w:b/>
          <w:szCs w:val="21"/>
        </w:rPr>
        <w:t>号）</w:t>
      </w:r>
      <w:r>
        <w:rPr>
          <w:rFonts w:hint="eastAsia" w:ascii="宋体" w:hAnsi="宋体"/>
          <w:b/>
          <w:spacing w:val="6"/>
          <w:szCs w:val="21"/>
        </w:rPr>
        <w:t>提供规定的《残疾人福利性单位声明函》，并对声明的真实性负责。采购代理机构在随中标、成交结果同时公告其《残疾人福利性单位声明函》，接受社会监督。供应商提供的《残疾人福利性单位声明函》与事实不符的，依照《政府采购法》第七十七条第一款的规定追究法律责任。</w:t>
      </w:r>
    </w:p>
    <w:p>
      <w:pPr>
        <w:adjustRightInd w:val="0"/>
        <w:snapToGrid w:val="0"/>
        <w:spacing w:line="360" w:lineRule="auto"/>
        <w:ind w:firstLine="422" w:firstLineChars="200"/>
        <w:jc w:val="left"/>
        <w:rPr>
          <w:rFonts w:ascii="宋体" w:hAnsi="宋体" w:cs="宋体"/>
          <w:b/>
          <w:color w:val="000000"/>
          <w:szCs w:val="21"/>
        </w:rPr>
      </w:pPr>
    </w:p>
    <w:p>
      <w:pPr>
        <w:adjustRightInd w:val="0"/>
        <w:snapToGrid w:val="0"/>
        <w:spacing w:line="360" w:lineRule="auto"/>
        <w:ind w:firstLine="480" w:firstLineChars="200"/>
        <w:jc w:val="left"/>
        <w:rPr>
          <w:rFonts w:ascii="宋体" w:hAnsi="宋体" w:cs="宋体"/>
          <w:color w:val="000000"/>
          <w:sz w:val="24"/>
        </w:rPr>
      </w:pPr>
    </w:p>
    <w:p>
      <w:pPr>
        <w:tabs>
          <w:tab w:val="left" w:pos="596"/>
        </w:tabs>
        <w:adjustRightInd w:val="0"/>
        <w:snapToGrid w:val="0"/>
        <w:spacing w:line="360" w:lineRule="auto"/>
        <w:jc w:val="center"/>
        <w:outlineLvl w:val="2"/>
        <w:rPr>
          <w:rFonts w:ascii="宋体" w:hAnsi="宋体"/>
          <w:b/>
          <w:szCs w:val="21"/>
        </w:rPr>
      </w:pPr>
      <w:r>
        <w:rPr>
          <w:rFonts w:hint="eastAsia" w:hAnsi="宋体" w:cs="宋体"/>
          <w:b/>
          <w:color w:val="000000"/>
          <w:u w:val="single"/>
        </w:rPr>
        <w:br w:type="page"/>
      </w:r>
      <w:bookmarkEnd w:id="627"/>
      <w:bookmarkEnd w:id="628"/>
      <w:bookmarkStart w:id="652" w:name="_Toc478114551"/>
      <w:bookmarkStart w:id="653" w:name="_Toc20228"/>
      <w:bookmarkStart w:id="654" w:name="_Toc34335350"/>
      <w:bookmarkStart w:id="655" w:name="_Toc502909069"/>
      <w:bookmarkStart w:id="656" w:name="_Hlk502068441"/>
      <w:r>
        <w:rPr>
          <w:rFonts w:hint="eastAsia" w:ascii="宋体" w:hAnsi="宋体"/>
          <w:b/>
          <w:szCs w:val="21"/>
        </w:rPr>
        <w:t xml:space="preserve">3.8 </w:t>
      </w:r>
      <w:bookmarkStart w:id="657" w:name="_Toc25904"/>
      <w:bookmarkStart w:id="658" w:name="_Toc8909"/>
      <w:bookmarkStart w:id="659" w:name="_Toc11787"/>
      <w:bookmarkStart w:id="660" w:name="_Toc27864"/>
      <w:bookmarkStart w:id="661" w:name="_Toc10893"/>
      <w:bookmarkStart w:id="662" w:name="_Toc205017032"/>
      <w:bookmarkStart w:id="663" w:name="_Toc272421896"/>
      <w:r>
        <w:rPr>
          <w:rFonts w:hint="eastAsia" w:ascii="宋体" w:hAnsi="宋体"/>
          <w:b/>
          <w:szCs w:val="21"/>
        </w:rPr>
        <w:t>商务条款偏离表</w:t>
      </w:r>
      <w:bookmarkEnd w:id="657"/>
      <w:bookmarkEnd w:id="658"/>
      <w:bookmarkEnd w:id="659"/>
      <w:bookmarkEnd w:id="660"/>
      <w:bookmarkEnd w:id="661"/>
    </w:p>
    <w:bookmarkEnd w:id="662"/>
    <w:bookmarkEnd w:id="663"/>
    <w:p>
      <w:pPr>
        <w:adjustRightInd w:val="0"/>
        <w:snapToGrid w:val="0"/>
        <w:spacing w:line="360" w:lineRule="auto"/>
        <w:ind w:firstLine="420" w:firstLineChars="200"/>
        <w:rPr>
          <w:rFonts w:ascii="宋体" w:hAnsi="宋体" w:cs="宋体"/>
          <w:szCs w:val="21"/>
        </w:rPr>
      </w:pPr>
      <w:r>
        <w:rPr>
          <w:rFonts w:hint="eastAsia" w:ascii="宋体" w:hAnsi="宋体" w:cs="宋体"/>
          <w:szCs w:val="21"/>
        </w:rPr>
        <w:t>供应商应逐条对应 “采购需求”和 “合同书样式及主要条款”中要求的商务条件，包括合同服务期限、服务地点、履约保证金等内容，并根据实际情况如实填写本表格。</w:t>
      </w:r>
    </w:p>
    <w:p>
      <w:pPr>
        <w:adjustRightInd w:val="0"/>
        <w:snapToGrid w:val="0"/>
        <w:spacing w:line="360" w:lineRule="auto"/>
        <w:rPr>
          <w:rFonts w:ascii="宋体" w:hAnsi="宋体" w:cs="仿宋"/>
          <w:szCs w:val="21"/>
          <w:u w:val="single"/>
        </w:rPr>
      </w:pPr>
      <w:r>
        <w:rPr>
          <w:rFonts w:hint="eastAsia" w:ascii="宋体" w:hAnsi="宋体" w:cs="仿宋"/>
          <w:szCs w:val="21"/>
        </w:rPr>
        <w:t>项目名称：</w:t>
      </w:r>
      <w:r>
        <w:rPr>
          <w:rFonts w:hint="eastAsia" w:ascii="宋体" w:hAnsi="宋体" w:cs="仿宋"/>
          <w:szCs w:val="21"/>
          <w:u w:val="single"/>
        </w:rPr>
        <w:t xml:space="preserve">                                       </w:t>
      </w:r>
      <w:r>
        <w:rPr>
          <w:rFonts w:hint="eastAsia" w:ascii="宋体" w:hAnsi="宋体" w:cs="仿宋"/>
          <w:szCs w:val="21"/>
        </w:rPr>
        <w:t xml:space="preserve">       项目编号：</w:t>
      </w:r>
      <w:r>
        <w:rPr>
          <w:rFonts w:hint="eastAsia" w:ascii="宋体" w:hAnsi="宋体" w:cs="仿宋"/>
          <w:szCs w:val="21"/>
          <w:u w:val="single"/>
        </w:rPr>
        <w:t xml:space="preserve">                 </w:t>
      </w:r>
    </w:p>
    <w:p>
      <w:pPr>
        <w:adjustRightInd w:val="0"/>
        <w:snapToGrid w:val="0"/>
        <w:spacing w:line="360" w:lineRule="auto"/>
        <w:rPr>
          <w:rFonts w:ascii="宋体" w:hAnsi="宋体" w:cs="仿宋"/>
          <w:szCs w:val="21"/>
        </w:rPr>
      </w:pPr>
      <w:r>
        <w:rPr>
          <w:rFonts w:hint="eastAsia" w:ascii="宋体" w:hAnsi="宋体" w:cs="仿宋"/>
          <w:szCs w:val="21"/>
        </w:rPr>
        <w:t>A、□我公司已详细阅读</w:t>
      </w:r>
      <w:r>
        <w:rPr>
          <w:rFonts w:hint="eastAsia" w:ascii="宋体" w:hAnsi="宋体" w:cs="宋体"/>
          <w:color w:val="000000"/>
        </w:rPr>
        <w:t>竞争性磋商</w:t>
      </w:r>
      <w:r>
        <w:rPr>
          <w:rFonts w:hint="eastAsia" w:ascii="宋体" w:hAnsi="宋体" w:cs="仿宋"/>
          <w:szCs w:val="21"/>
        </w:rPr>
        <w:t>文件中各项商务要求，所有商务要求均无偏离，成交后我公司将严格遵照执行。</w:t>
      </w:r>
    </w:p>
    <w:p>
      <w:pPr>
        <w:adjustRightInd w:val="0"/>
        <w:snapToGrid w:val="0"/>
        <w:spacing w:line="360" w:lineRule="auto"/>
        <w:rPr>
          <w:rFonts w:ascii="宋体" w:hAnsi="宋体" w:cs="宋体"/>
          <w:szCs w:val="21"/>
          <w:u w:val="single"/>
        </w:rPr>
      </w:pPr>
      <w:r>
        <w:rPr>
          <w:rFonts w:hint="eastAsia" w:ascii="宋体" w:hAnsi="宋体" w:cs="仿宋"/>
          <w:szCs w:val="21"/>
        </w:rPr>
        <w:t>B、□我公司已详细阅读</w:t>
      </w:r>
      <w:r>
        <w:rPr>
          <w:rFonts w:hint="eastAsia" w:ascii="宋体" w:hAnsi="宋体" w:cs="宋体"/>
          <w:color w:val="000000"/>
        </w:rPr>
        <w:t>竞争性磋商</w:t>
      </w:r>
      <w:r>
        <w:rPr>
          <w:rFonts w:hint="eastAsia" w:ascii="宋体" w:hAnsi="宋体" w:cs="仿宋"/>
          <w:szCs w:val="21"/>
        </w:rPr>
        <w:t>文件中各项商务要求，除下述条款有偏离外，其余条款我公司均予以认可，成交后将严格遵照执行。</w:t>
      </w:r>
    </w:p>
    <w:tbl>
      <w:tblPr>
        <w:tblStyle w:val="40"/>
        <w:tblW w:w="5024"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716"/>
        <w:gridCol w:w="2144"/>
        <w:gridCol w:w="2175"/>
        <w:gridCol w:w="3278"/>
        <w:gridCol w:w="84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2" w:hRule="atLeast"/>
        </w:trPr>
        <w:tc>
          <w:tcPr>
            <w:tcW w:w="391" w:type="pct"/>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序号</w:t>
            </w:r>
          </w:p>
        </w:tc>
        <w:tc>
          <w:tcPr>
            <w:tcW w:w="1170" w:type="pct"/>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竞争性磋商文件的商务条款</w:t>
            </w:r>
          </w:p>
        </w:tc>
        <w:tc>
          <w:tcPr>
            <w:tcW w:w="1187" w:type="pct"/>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响应文件的商务条款</w:t>
            </w:r>
          </w:p>
        </w:tc>
        <w:tc>
          <w:tcPr>
            <w:tcW w:w="1789" w:type="pct"/>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偏离情况说明</w:t>
            </w:r>
          </w:p>
        </w:tc>
        <w:tc>
          <w:tcPr>
            <w:tcW w:w="464" w:type="pct"/>
            <w:vAlign w:val="center"/>
          </w:tcPr>
          <w:p>
            <w:pPr>
              <w:adjustRightInd w:val="0"/>
              <w:snapToGrid w:val="0"/>
              <w:spacing w:line="360" w:lineRule="auto"/>
              <w:jc w:val="center"/>
              <w:rPr>
                <w:rFonts w:ascii="宋体" w:hAnsi="宋体" w:cs="宋体"/>
                <w:b/>
                <w:szCs w:val="21"/>
              </w:rPr>
            </w:pPr>
            <w:r>
              <w:rPr>
                <w:rFonts w:hint="eastAsia" w:ascii="宋体" w:hAnsi="宋体" w:cs="宋体"/>
                <w:b/>
                <w:bCs/>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391" w:type="pct"/>
          </w:tcPr>
          <w:p>
            <w:pPr>
              <w:adjustRightInd w:val="0"/>
              <w:snapToGrid w:val="0"/>
              <w:spacing w:line="360" w:lineRule="auto"/>
              <w:rPr>
                <w:rFonts w:ascii="宋体" w:hAnsi="宋体" w:cs="宋体"/>
                <w:szCs w:val="21"/>
              </w:rPr>
            </w:pPr>
          </w:p>
        </w:tc>
        <w:tc>
          <w:tcPr>
            <w:tcW w:w="1170" w:type="pct"/>
          </w:tcPr>
          <w:p>
            <w:pPr>
              <w:adjustRightInd w:val="0"/>
              <w:snapToGrid w:val="0"/>
              <w:spacing w:line="360" w:lineRule="auto"/>
              <w:rPr>
                <w:rFonts w:ascii="宋体" w:hAnsi="宋体" w:cs="宋体"/>
                <w:szCs w:val="21"/>
              </w:rPr>
            </w:pPr>
          </w:p>
        </w:tc>
        <w:tc>
          <w:tcPr>
            <w:tcW w:w="1187" w:type="pct"/>
          </w:tcPr>
          <w:p>
            <w:pPr>
              <w:adjustRightInd w:val="0"/>
              <w:snapToGrid w:val="0"/>
              <w:spacing w:line="360" w:lineRule="auto"/>
              <w:rPr>
                <w:rFonts w:ascii="宋体" w:hAnsi="宋体" w:cs="宋体"/>
                <w:szCs w:val="21"/>
              </w:rPr>
            </w:pPr>
          </w:p>
        </w:tc>
        <w:tc>
          <w:tcPr>
            <w:tcW w:w="1789" w:type="pct"/>
          </w:tcPr>
          <w:p>
            <w:pPr>
              <w:adjustRightInd w:val="0"/>
              <w:snapToGrid w:val="0"/>
              <w:spacing w:line="360" w:lineRule="auto"/>
              <w:rPr>
                <w:rFonts w:ascii="宋体" w:hAnsi="宋体" w:cs="宋体"/>
                <w:szCs w:val="21"/>
              </w:rPr>
            </w:pPr>
          </w:p>
        </w:tc>
        <w:tc>
          <w:tcPr>
            <w:tcW w:w="464" w:type="pct"/>
          </w:tcPr>
          <w:p>
            <w:pPr>
              <w:adjustRightInd w:val="0"/>
              <w:snapToGrid w:val="0"/>
              <w:spacing w:line="36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0" w:hRule="atLeast"/>
        </w:trPr>
        <w:tc>
          <w:tcPr>
            <w:tcW w:w="391" w:type="pct"/>
          </w:tcPr>
          <w:p>
            <w:pPr>
              <w:adjustRightInd w:val="0"/>
              <w:snapToGrid w:val="0"/>
              <w:spacing w:line="360" w:lineRule="auto"/>
              <w:rPr>
                <w:rFonts w:ascii="宋体" w:hAnsi="宋体" w:cs="宋体"/>
                <w:szCs w:val="21"/>
              </w:rPr>
            </w:pPr>
          </w:p>
        </w:tc>
        <w:tc>
          <w:tcPr>
            <w:tcW w:w="1170" w:type="pct"/>
          </w:tcPr>
          <w:p>
            <w:pPr>
              <w:adjustRightInd w:val="0"/>
              <w:snapToGrid w:val="0"/>
              <w:spacing w:line="360" w:lineRule="auto"/>
              <w:rPr>
                <w:rFonts w:ascii="宋体" w:hAnsi="宋体" w:cs="宋体"/>
                <w:szCs w:val="21"/>
              </w:rPr>
            </w:pPr>
          </w:p>
        </w:tc>
        <w:tc>
          <w:tcPr>
            <w:tcW w:w="1187" w:type="pct"/>
          </w:tcPr>
          <w:p>
            <w:pPr>
              <w:adjustRightInd w:val="0"/>
              <w:snapToGrid w:val="0"/>
              <w:spacing w:line="360" w:lineRule="auto"/>
              <w:rPr>
                <w:rFonts w:ascii="宋体" w:hAnsi="宋体" w:cs="宋体"/>
                <w:szCs w:val="21"/>
              </w:rPr>
            </w:pPr>
          </w:p>
        </w:tc>
        <w:tc>
          <w:tcPr>
            <w:tcW w:w="1789" w:type="pct"/>
          </w:tcPr>
          <w:p>
            <w:pPr>
              <w:adjustRightInd w:val="0"/>
              <w:snapToGrid w:val="0"/>
              <w:spacing w:line="360" w:lineRule="auto"/>
              <w:rPr>
                <w:rFonts w:ascii="宋体" w:hAnsi="宋体" w:cs="宋体"/>
                <w:szCs w:val="21"/>
              </w:rPr>
            </w:pPr>
          </w:p>
        </w:tc>
        <w:tc>
          <w:tcPr>
            <w:tcW w:w="464" w:type="pct"/>
          </w:tcPr>
          <w:p>
            <w:pPr>
              <w:adjustRightInd w:val="0"/>
              <w:snapToGrid w:val="0"/>
              <w:spacing w:line="36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391" w:type="pct"/>
          </w:tcPr>
          <w:p>
            <w:pPr>
              <w:adjustRightInd w:val="0"/>
              <w:snapToGrid w:val="0"/>
              <w:spacing w:line="360" w:lineRule="auto"/>
              <w:rPr>
                <w:rFonts w:ascii="宋体" w:hAnsi="宋体" w:cs="宋体"/>
                <w:szCs w:val="21"/>
              </w:rPr>
            </w:pPr>
          </w:p>
        </w:tc>
        <w:tc>
          <w:tcPr>
            <w:tcW w:w="1170" w:type="pct"/>
          </w:tcPr>
          <w:p>
            <w:pPr>
              <w:adjustRightInd w:val="0"/>
              <w:snapToGrid w:val="0"/>
              <w:spacing w:line="360" w:lineRule="auto"/>
              <w:rPr>
                <w:rFonts w:ascii="宋体" w:hAnsi="宋体" w:cs="宋体"/>
                <w:szCs w:val="21"/>
              </w:rPr>
            </w:pPr>
          </w:p>
        </w:tc>
        <w:tc>
          <w:tcPr>
            <w:tcW w:w="1187" w:type="pct"/>
          </w:tcPr>
          <w:p>
            <w:pPr>
              <w:adjustRightInd w:val="0"/>
              <w:snapToGrid w:val="0"/>
              <w:spacing w:line="360" w:lineRule="auto"/>
              <w:rPr>
                <w:rFonts w:ascii="宋体" w:hAnsi="宋体" w:cs="宋体"/>
                <w:szCs w:val="21"/>
              </w:rPr>
            </w:pPr>
          </w:p>
        </w:tc>
        <w:tc>
          <w:tcPr>
            <w:tcW w:w="1789" w:type="pct"/>
          </w:tcPr>
          <w:p>
            <w:pPr>
              <w:adjustRightInd w:val="0"/>
              <w:snapToGrid w:val="0"/>
              <w:spacing w:line="360" w:lineRule="auto"/>
              <w:rPr>
                <w:rFonts w:ascii="宋体" w:hAnsi="宋体" w:cs="宋体"/>
                <w:szCs w:val="21"/>
              </w:rPr>
            </w:pPr>
          </w:p>
        </w:tc>
        <w:tc>
          <w:tcPr>
            <w:tcW w:w="464" w:type="pct"/>
          </w:tcPr>
          <w:p>
            <w:pPr>
              <w:adjustRightInd w:val="0"/>
              <w:snapToGrid w:val="0"/>
              <w:spacing w:line="36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391" w:type="pct"/>
          </w:tcPr>
          <w:p>
            <w:pPr>
              <w:adjustRightInd w:val="0"/>
              <w:snapToGrid w:val="0"/>
              <w:spacing w:line="360" w:lineRule="auto"/>
              <w:rPr>
                <w:rFonts w:ascii="宋体" w:hAnsi="宋体" w:cs="宋体"/>
                <w:szCs w:val="21"/>
              </w:rPr>
            </w:pPr>
          </w:p>
        </w:tc>
        <w:tc>
          <w:tcPr>
            <w:tcW w:w="1170" w:type="pct"/>
          </w:tcPr>
          <w:p>
            <w:pPr>
              <w:adjustRightInd w:val="0"/>
              <w:snapToGrid w:val="0"/>
              <w:spacing w:line="360" w:lineRule="auto"/>
              <w:rPr>
                <w:rFonts w:ascii="宋体" w:hAnsi="宋体" w:cs="宋体"/>
                <w:szCs w:val="21"/>
              </w:rPr>
            </w:pPr>
          </w:p>
        </w:tc>
        <w:tc>
          <w:tcPr>
            <w:tcW w:w="1187" w:type="pct"/>
          </w:tcPr>
          <w:p>
            <w:pPr>
              <w:adjustRightInd w:val="0"/>
              <w:snapToGrid w:val="0"/>
              <w:spacing w:line="360" w:lineRule="auto"/>
              <w:rPr>
                <w:rFonts w:ascii="宋体" w:hAnsi="宋体" w:cs="宋体"/>
                <w:szCs w:val="21"/>
              </w:rPr>
            </w:pPr>
          </w:p>
        </w:tc>
        <w:tc>
          <w:tcPr>
            <w:tcW w:w="1789" w:type="pct"/>
          </w:tcPr>
          <w:p>
            <w:pPr>
              <w:adjustRightInd w:val="0"/>
              <w:snapToGrid w:val="0"/>
              <w:spacing w:line="360" w:lineRule="auto"/>
              <w:rPr>
                <w:rFonts w:ascii="宋体" w:hAnsi="宋体" w:cs="宋体"/>
                <w:szCs w:val="21"/>
              </w:rPr>
            </w:pPr>
          </w:p>
        </w:tc>
        <w:tc>
          <w:tcPr>
            <w:tcW w:w="464" w:type="pct"/>
          </w:tcPr>
          <w:p>
            <w:pPr>
              <w:adjustRightInd w:val="0"/>
              <w:snapToGrid w:val="0"/>
              <w:spacing w:line="36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391" w:type="pct"/>
          </w:tcPr>
          <w:p>
            <w:pPr>
              <w:adjustRightInd w:val="0"/>
              <w:snapToGrid w:val="0"/>
              <w:spacing w:line="360" w:lineRule="auto"/>
              <w:rPr>
                <w:rFonts w:ascii="宋体" w:hAnsi="宋体" w:cs="宋体"/>
                <w:szCs w:val="21"/>
              </w:rPr>
            </w:pPr>
          </w:p>
        </w:tc>
        <w:tc>
          <w:tcPr>
            <w:tcW w:w="1170" w:type="pct"/>
          </w:tcPr>
          <w:p>
            <w:pPr>
              <w:adjustRightInd w:val="0"/>
              <w:snapToGrid w:val="0"/>
              <w:spacing w:line="360" w:lineRule="auto"/>
              <w:rPr>
                <w:rFonts w:ascii="宋体" w:hAnsi="宋体" w:cs="宋体"/>
                <w:szCs w:val="21"/>
              </w:rPr>
            </w:pPr>
          </w:p>
        </w:tc>
        <w:tc>
          <w:tcPr>
            <w:tcW w:w="1187" w:type="pct"/>
          </w:tcPr>
          <w:p>
            <w:pPr>
              <w:adjustRightInd w:val="0"/>
              <w:snapToGrid w:val="0"/>
              <w:spacing w:line="360" w:lineRule="auto"/>
              <w:rPr>
                <w:rFonts w:ascii="宋体" w:hAnsi="宋体" w:cs="宋体"/>
                <w:szCs w:val="21"/>
              </w:rPr>
            </w:pPr>
          </w:p>
        </w:tc>
        <w:tc>
          <w:tcPr>
            <w:tcW w:w="1789" w:type="pct"/>
          </w:tcPr>
          <w:p>
            <w:pPr>
              <w:adjustRightInd w:val="0"/>
              <w:snapToGrid w:val="0"/>
              <w:spacing w:line="360" w:lineRule="auto"/>
              <w:rPr>
                <w:rFonts w:ascii="宋体" w:hAnsi="宋体" w:cs="宋体"/>
                <w:szCs w:val="21"/>
              </w:rPr>
            </w:pPr>
          </w:p>
        </w:tc>
        <w:tc>
          <w:tcPr>
            <w:tcW w:w="464" w:type="pct"/>
          </w:tcPr>
          <w:p>
            <w:pPr>
              <w:adjustRightInd w:val="0"/>
              <w:snapToGrid w:val="0"/>
              <w:spacing w:line="360" w:lineRule="auto"/>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4" w:hRule="atLeast"/>
        </w:trPr>
        <w:tc>
          <w:tcPr>
            <w:tcW w:w="391" w:type="pct"/>
          </w:tcPr>
          <w:p>
            <w:pPr>
              <w:adjustRightInd w:val="0"/>
              <w:snapToGrid w:val="0"/>
              <w:spacing w:line="360" w:lineRule="auto"/>
              <w:rPr>
                <w:rFonts w:ascii="宋体" w:hAnsi="宋体" w:cs="宋体"/>
                <w:szCs w:val="21"/>
              </w:rPr>
            </w:pPr>
          </w:p>
        </w:tc>
        <w:tc>
          <w:tcPr>
            <w:tcW w:w="1170" w:type="pct"/>
          </w:tcPr>
          <w:p>
            <w:pPr>
              <w:adjustRightInd w:val="0"/>
              <w:snapToGrid w:val="0"/>
              <w:spacing w:line="360" w:lineRule="auto"/>
              <w:rPr>
                <w:rFonts w:ascii="宋体" w:hAnsi="宋体" w:cs="宋体"/>
                <w:szCs w:val="21"/>
              </w:rPr>
            </w:pPr>
          </w:p>
        </w:tc>
        <w:tc>
          <w:tcPr>
            <w:tcW w:w="1187" w:type="pct"/>
          </w:tcPr>
          <w:p>
            <w:pPr>
              <w:adjustRightInd w:val="0"/>
              <w:snapToGrid w:val="0"/>
              <w:spacing w:line="360" w:lineRule="auto"/>
              <w:rPr>
                <w:rFonts w:ascii="宋体" w:hAnsi="宋体" w:cs="宋体"/>
                <w:szCs w:val="21"/>
              </w:rPr>
            </w:pPr>
          </w:p>
        </w:tc>
        <w:tc>
          <w:tcPr>
            <w:tcW w:w="1789" w:type="pct"/>
          </w:tcPr>
          <w:p>
            <w:pPr>
              <w:adjustRightInd w:val="0"/>
              <w:snapToGrid w:val="0"/>
              <w:spacing w:line="360" w:lineRule="auto"/>
              <w:rPr>
                <w:rFonts w:ascii="宋体" w:hAnsi="宋体" w:cs="宋体"/>
                <w:szCs w:val="21"/>
              </w:rPr>
            </w:pPr>
          </w:p>
        </w:tc>
        <w:tc>
          <w:tcPr>
            <w:tcW w:w="464" w:type="pct"/>
          </w:tcPr>
          <w:p>
            <w:pPr>
              <w:adjustRightInd w:val="0"/>
              <w:snapToGrid w:val="0"/>
              <w:spacing w:line="360" w:lineRule="auto"/>
              <w:rPr>
                <w:rFonts w:ascii="宋体" w:hAnsi="宋体" w:cs="宋体"/>
                <w:szCs w:val="21"/>
              </w:rPr>
            </w:pPr>
          </w:p>
        </w:tc>
      </w:tr>
    </w:tbl>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注：1、“偏离”系指“正偏离”、“负偏离”或“无偏离”。对于商务条款响应要求需有证明材料支持的，须在响应文件中提供证明材料。 </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1、供应商应根据实际情况，填写本表格，若无偏离，则勾选A项，签字盖章即可。若有偏离，则勾选B项，按表格要求及实际情况填写。</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2、表格中“</w:t>
      </w:r>
      <w:r>
        <w:rPr>
          <w:rFonts w:hint="eastAsia" w:ascii="宋体" w:hAnsi="宋体" w:cs="宋体"/>
          <w:color w:val="000000"/>
        </w:rPr>
        <w:t>竞争性磋商</w:t>
      </w:r>
      <w:r>
        <w:rPr>
          <w:rFonts w:hint="eastAsia" w:ascii="宋体" w:hAnsi="宋体" w:cs="仿宋"/>
          <w:szCs w:val="21"/>
        </w:rPr>
        <w:t>文件的商务条款”在填写时应注明该条款在竞争性磋商文件中的条款号。</w:t>
      </w:r>
    </w:p>
    <w:p>
      <w:pPr>
        <w:adjustRightInd w:val="0"/>
        <w:snapToGrid w:val="0"/>
        <w:spacing w:line="360" w:lineRule="auto"/>
        <w:ind w:firstLine="420" w:firstLineChars="200"/>
        <w:rPr>
          <w:rFonts w:ascii="宋体" w:hAnsi="宋体" w:cs="仿宋"/>
          <w:szCs w:val="21"/>
        </w:rPr>
      </w:pPr>
      <w:r>
        <w:rPr>
          <w:rFonts w:hint="eastAsia" w:ascii="宋体" w:hAnsi="宋体" w:cs="仿宋"/>
          <w:szCs w:val="21"/>
        </w:rPr>
        <w:t>3、表格中“响应文件的商务条款”请根据实际响应情况如实、完整、准确的填写，并注明该条款在响应文件中的页码及条款号。</w:t>
      </w:r>
    </w:p>
    <w:p>
      <w:pPr>
        <w:adjustRightInd w:val="0"/>
        <w:snapToGrid w:val="0"/>
        <w:spacing w:line="360" w:lineRule="auto"/>
        <w:ind w:firstLine="420" w:firstLineChars="200"/>
        <w:rPr>
          <w:rFonts w:ascii="宋体" w:hAnsi="宋体" w:cs="宋体"/>
          <w:bCs/>
          <w:szCs w:val="21"/>
        </w:rPr>
      </w:pPr>
      <w:r>
        <w:rPr>
          <w:rFonts w:hint="eastAsia" w:ascii="宋体" w:hAnsi="宋体" w:cs="仿宋"/>
          <w:szCs w:val="21"/>
        </w:rPr>
        <w:t>4、本表格中内容与响应文件其余部分不一致的，以本表格为准。</w:t>
      </w:r>
    </w:p>
    <w:p>
      <w:pPr>
        <w:adjustRightInd w:val="0"/>
        <w:snapToGrid w:val="0"/>
        <w:spacing w:line="360" w:lineRule="auto"/>
        <w:ind w:firstLine="420" w:firstLineChars="200"/>
        <w:rPr>
          <w:rFonts w:ascii="宋体" w:hAnsi="宋体" w:cs="宋体"/>
          <w:bCs/>
          <w:szCs w:val="21"/>
        </w:rPr>
      </w:pPr>
    </w:p>
    <w:p>
      <w:pPr>
        <w:adjustRightInd w:val="0"/>
        <w:snapToGrid w:val="0"/>
        <w:spacing w:line="360" w:lineRule="auto"/>
        <w:ind w:firstLine="420" w:firstLineChars="200"/>
        <w:rPr>
          <w:szCs w:val="21"/>
        </w:rPr>
      </w:pPr>
      <w:bookmarkStart w:id="664" w:name="_Toc136777950"/>
      <w:bookmarkStart w:id="665" w:name="_Toc5562"/>
      <w:bookmarkStart w:id="666" w:name="_Toc28270"/>
      <w:r>
        <w:rPr>
          <w:rFonts w:hint="eastAsia"/>
          <w:szCs w:val="21"/>
        </w:rPr>
        <w:t>供应商名称（电子签章或盖章）：________________________</w:t>
      </w:r>
      <w:bookmarkEnd w:id="664"/>
      <w:bookmarkEnd w:id="665"/>
      <w:bookmarkEnd w:id="666"/>
    </w:p>
    <w:p>
      <w:pPr>
        <w:adjustRightInd w:val="0"/>
        <w:snapToGrid w:val="0"/>
        <w:spacing w:line="360" w:lineRule="auto"/>
        <w:ind w:firstLine="420" w:firstLineChars="200"/>
        <w:rPr>
          <w:szCs w:val="21"/>
        </w:rPr>
      </w:pPr>
      <w:bookmarkStart w:id="667" w:name="_Toc136777951"/>
      <w:bookmarkStart w:id="668" w:name="_Toc15494"/>
      <w:bookmarkStart w:id="669" w:name="_Toc2197"/>
      <w:r>
        <w:rPr>
          <w:rFonts w:hint="eastAsia"/>
          <w:szCs w:val="21"/>
        </w:rPr>
        <w:t>法定代表人或其授权代理人（</w:t>
      </w:r>
      <w:r>
        <w:rPr>
          <w:rFonts w:hint="eastAsia" w:ascii="仿宋" w:hAnsi="仿宋" w:cs="仿宋"/>
          <w:color w:val="000000"/>
          <w:szCs w:val="21"/>
        </w:rPr>
        <w:t>电子签章或签字</w:t>
      </w:r>
      <w:r>
        <w:rPr>
          <w:rFonts w:hint="eastAsia"/>
          <w:szCs w:val="21"/>
        </w:rPr>
        <w:t>）：__________</w:t>
      </w:r>
      <w:bookmarkEnd w:id="667"/>
      <w:bookmarkEnd w:id="668"/>
      <w:bookmarkEnd w:id="669"/>
    </w:p>
    <w:p>
      <w:pPr>
        <w:adjustRightInd w:val="0"/>
        <w:snapToGrid w:val="0"/>
        <w:spacing w:line="360" w:lineRule="auto"/>
        <w:ind w:firstLine="420" w:firstLineChars="200"/>
        <w:rPr>
          <w:szCs w:val="21"/>
        </w:rPr>
      </w:pPr>
      <w:bookmarkStart w:id="670" w:name="_Toc1532"/>
      <w:bookmarkStart w:id="671" w:name="_Toc27227"/>
      <w:bookmarkStart w:id="672" w:name="_Toc136777952"/>
      <w:r>
        <w:rPr>
          <w:rFonts w:hint="eastAsia"/>
          <w:szCs w:val="21"/>
        </w:rPr>
        <w:t>日期：______年_____月_____日</w:t>
      </w:r>
      <w:bookmarkEnd w:id="670"/>
      <w:bookmarkEnd w:id="671"/>
      <w:bookmarkEnd w:id="672"/>
    </w:p>
    <w:bookmarkEnd w:id="652"/>
    <w:bookmarkEnd w:id="653"/>
    <w:bookmarkEnd w:id="654"/>
    <w:bookmarkEnd w:id="655"/>
    <w:bookmarkEnd w:id="656"/>
    <w:p>
      <w:pPr>
        <w:adjustRightInd w:val="0"/>
        <w:snapToGrid w:val="0"/>
        <w:spacing w:line="360" w:lineRule="auto"/>
        <w:jc w:val="center"/>
        <w:outlineLvl w:val="2"/>
        <w:rPr>
          <w:rFonts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jc w:val="center"/>
        <w:outlineLvl w:val="2"/>
        <w:rPr>
          <w:rFonts w:ascii="宋体" w:hAnsi="宋体" w:cs="宋体"/>
          <w:color w:val="000000"/>
          <w:szCs w:val="21"/>
        </w:rPr>
      </w:pPr>
      <w:r>
        <w:rPr>
          <w:rFonts w:hint="eastAsia" w:hAnsi="宋体" w:cs="宋体"/>
          <w:color w:val="000000"/>
        </w:rPr>
        <w:br w:type="page"/>
      </w:r>
      <w:bookmarkEnd w:id="629"/>
      <w:bookmarkEnd w:id="630"/>
      <w:bookmarkStart w:id="673" w:name="_Toc27778"/>
      <w:bookmarkStart w:id="674" w:name="_Toc34335351"/>
      <w:bookmarkStart w:id="675" w:name="_Toc27811"/>
      <w:bookmarkStart w:id="676" w:name="_Toc502909070"/>
      <w:bookmarkStart w:id="677" w:name="_Hlk502068481"/>
      <w:r>
        <w:rPr>
          <w:rFonts w:hint="eastAsia" w:ascii="宋体" w:hAnsi="宋体" w:cs="宋体"/>
          <w:b/>
          <w:color w:val="000000"/>
          <w:szCs w:val="21"/>
        </w:rPr>
        <w:t>3.9其它商务资料</w:t>
      </w:r>
      <w:bookmarkEnd w:id="673"/>
      <w:bookmarkEnd w:id="674"/>
      <w:bookmarkEnd w:id="675"/>
      <w:bookmarkEnd w:id="676"/>
    </w:p>
    <w:bookmarkEnd w:id="677"/>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3.9.1类似项目业绩</w:t>
      </w:r>
    </w:p>
    <w:tbl>
      <w:tblPr>
        <w:tblStyle w:val="4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2527"/>
        <w:gridCol w:w="1414"/>
        <w:gridCol w:w="1414"/>
        <w:gridCol w:w="1754"/>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jc w:val="center"/>
              <w:rPr>
                <w:rFonts w:ascii="宋体" w:hAnsi="宋体"/>
                <w:bCs/>
                <w:color w:val="000000"/>
                <w:sz w:val="21"/>
                <w:szCs w:val="21"/>
              </w:rPr>
            </w:pPr>
            <w:r>
              <w:rPr>
                <w:rFonts w:hint="eastAsia" w:ascii="宋体" w:hAnsi="宋体"/>
                <w:bCs/>
                <w:color w:val="000000"/>
                <w:sz w:val="21"/>
                <w:szCs w:val="21"/>
              </w:rPr>
              <w:t>序号</w:t>
            </w:r>
          </w:p>
        </w:tc>
        <w:tc>
          <w:tcPr>
            <w:tcW w:w="2527" w:type="dxa"/>
            <w:vAlign w:val="center"/>
          </w:tcPr>
          <w:p>
            <w:pPr>
              <w:pStyle w:val="2"/>
              <w:adjustRightInd w:val="0"/>
              <w:snapToGrid w:val="0"/>
              <w:spacing w:after="0" w:line="360" w:lineRule="auto"/>
              <w:jc w:val="center"/>
              <w:rPr>
                <w:rFonts w:ascii="宋体" w:hAnsi="宋体"/>
                <w:bCs/>
                <w:color w:val="000000"/>
                <w:sz w:val="21"/>
                <w:szCs w:val="21"/>
              </w:rPr>
            </w:pPr>
            <w:r>
              <w:rPr>
                <w:rFonts w:hint="eastAsia" w:ascii="宋体" w:hAnsi="宋体"/>
                <w:bCs/>
                <w:color w:val="000000"/>
                <w:sz w:val="21"/>
                <w:szCs w:val="21"/>
              </w:rPr>
              <w:t>项目名称</w:t>
            </w:r>
          </w:p>
        </w:tc>
        <w:tc>
          <w:tcPr>
            <w:tcW w:w="1414" w:type="dxa"/>
            <w:vAlign w:val="center"/>
          </w:tcPr>
          <w:p>
            <w:pPr>
              <w:pStyle w:val="2"/>
              <w:adjustRightInd w:val="0"/>
              <w:snapToGrid w:val="0"/>
              <w:spacing w:after="0" w:line="360" w:lineRule="auto"/>
              <w:jc w:val="center"/>
              <w:rPr>
                <w:rFonts w:ascii="宋体" w:hAnsi="宋体"/>
                <w:bCs/>
                <w:color w:val="000000"/>
                <w:sz w:val="21"/>
                <w:szCs w:val="21"/>
              </w:rPr>
            </w:pPr>
            <w:r>
              <w:rPr>
                <w:rFonts w:hint="eastAsia" w:ascii="宋体" w:hAnsi="宋体"/>
                <w:bCs/>
                <w:color w:val="000000"/>
                <w:sz w:val="21"/>
                <w:szCs w:val="21"/>
              </w:rPr>
              <w:t>业主单位</w:t>
            </w:r>
          </w:p>
        </w:tc>
        <w:tc>
          <w:tcPr>
            <w:tcW w:w="1414" w:type="dxa"/>
            <w:vAlign w:val="center"/>
          </w:tcPr>
          <w:p>
            <w:pPr>
              <w:pStyle w:val="2"/>
              <w:adjustRightInd w:val="0"/>
              <w:snapToGrid w:val="0"/>
              <w:spacing w:after="0" w:line="360" w:lineRule="auto"/>
              <w:jc w:val="center"/>
              <w:rPr>
                <w:rFonts w:ascii="宋体" w:hAnsi="宋体"/>
                <w:bCs/>
                <w:color w:val="000000"/>
                <w:sz w:val="21"/>
                <w:szCs w:val="21"/>
              </w:rPr>
            </w:pPr>
            <w:r>
              <w:rPr>
                <w:rFonts w:hint="eastAsia" w:ascii="宋体" w:hAnsi="宋体"/>
                <w:bCs/>
                <w:color w:val="000000"/>
                <w:sz w:val="21"/>
                <w:szCs w:val="21"/>
              </w:rPr>
              <w:t>合同金额</w:t>
            </w:r>
          </w:p>
        </w:tc>
        <w:tc>
          <w:tcPr>
            <w:tcW w:w="1754" w:type="dxa"/>
            <w:vAlign w:val="center"/>
          </w:tcPr>
          <w:p>
            <w:pPr>
              <w:pStyle w:val="2"/>
              <w:adjustRightInd w:val="0"/>
              <w:snapToGrid w:val="0"/>
              <w:spacing w:after="0" w:line="360" w:lineRule="auto"/>
              <w:jc w:val="center"/>
              <w:rPr>
                <w:rFonts w:ascii="宋体" w:hAnsi="宋体"/>
                <w:bCs/>
                <w:color w:val="000000"/>
                <w:sz w:val="21"/>
                <w:szCs w:val="21"/>
              </w:rPr>
            </w:pPr>
            <w:r>
              <w:rPr>
                <w:rFonts w:hint="eastAsia" w:ascii="宋体" w:hAnsi="宋体"/>
                <w:bCs/>
                <w:color w:val="000000"/>
                <w:sz w:val="21"/>
                <w:szCs w:val="21"/>
              </w:rPr>
              <w:t>合同签订时间</w:t>
            </w:r>
          </w:p>
        </w:tc>
        <w:tc>
          <w:tcPr>
            <w:tcW w:w="703" w:type="dxa"/>
            <w:vAlign w:val="center"/>
          </w:tcPr>
          <w:p>
            <w:pPr>
              <w:pStyle w:val="2"/>
              <w:adjustRightInd w:val="0"/>
              <w:snapToGrid w:val="0"/>
              <w:spacing w:after="0" w:line="360" w:lineRule="auto"/>
              <w:jc w:val="center"/>
              <w:rPr>
                <w:rFonts w:ascii="宋体" w:hAnsi="宋体"/>
                <w:bCs/>
                <w:color w:val="000000"/>
                <w:sz w:val="21"/>
                <w:szCs w:val="21"/>
              </w:rPr>
            </w:pPr>
            <w:r>
              <w:rPr>
                <w:rFonts w:hint="eastAsia" w:ascii="宋体" w:hAnsi="宋体"/>
                <w:bCs/>
                <w:color w:val="00000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1</w:t>
            </w:r>
          </w:p>
        </w:tc>
        <w:tc>
          <w:tcPr>
            <w:tcW w:w="2527"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754" w:type="dxa"/>
            <w:vAlign w:val="center"/>
          </w:tcPr>
          <w:p>
            <w:pPr>
              <w:pStyle w:val="2"/>
              <w:adjustRightInd w:val="0"/>
              <w:snapToGrid w:val="0"/>
              <w:spacing w:after="0" w:line="360" w:lineRule="auto"/>
              <w:rPr>
                <w:rFonts w:ascii="宋体" w:hAnsi="宋体"/>
                <w:color w:val="000000"/>
                <w:sz w:val="21"/>
                <w:szCs w:val="21"/>
              </w:rPr>
            </w:pPr>
          </w:p>
        </w:tc>
        <w:tc>
          <w:tcPr>
            <w:tcW w:w="703" w:type="dxa"/>
            <w:vAlign w:val="center"/>
          </w:tcPr>
          <w:p>
            <w:pPr>
              <w:pStyle w:val="2"/>
              <w:adjustRightInd w:val="0"/>
              <w:snapToGrid w:val="0"/>
              <w:spacing w:after="0"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2</w:t>
            </w:r>
          </w:p>
        </w:tc>
        <w:tc>
          <w:tcPr>
            <w:tcW w:w="2527"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754" w:type="dxa"/>
            <w:vAlign w:val="center"/>
          </w:tcPr>
          <w:p>
            <w:pPr>
              <w:pStyle w:val="2"/>
              <w:adjustRightInd w:val="0"/>
              <w:snapToGrid w:val="0"/>
              <w:spacing w:after="0" w:line="360" w:lineRule="auto"/>
              <w:rPr>
                <w:rFonts w:ascii="宋体" w:hAnsi="宋体"/>
                <w:color w:val="000000"/>
                <w:sz w:val="21"/>
                <w:szCs w:val="21"/>
              </w:rPr>
            </w:pPr>
          </w:p>
        </w:tc>
        <w:tc>
          <w:tcPr>
            <w:tcW w:w="703" w:type="dxa"/>
            <w:vAlign w:val="center"/>
          </w:tcPr>
          <w:p>
            <w:pPr>
              <w:pStyle w:val="2"/>
              <w:adjustRightInd w:val="0"/>
              <w:snapToGrid w:val="0"/>
              <w:spacing w:after="0"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jc w:val="center"/>
              <w:rPr>
                <w:rFonts w:ascii="宋体" w:hAnsi="宋体"/>
                <w:color w:val="000000"/>
                <w:sz w:val="21"/>
                <w:szCs w:val="21"/>
              </w:rPr>
            </w:pPr>
            <w:r>
              <w:rPr>
                <w:rFonts w:hint="eastAsia" w:ascii="宋体" w:hAnsi="宋体"/>
                <w:color w:val="000000"/>
                <w:sz w:val="21"/>
                <w:szCs w:val="21"/>
              </w:rPr>
              <w:t>3</w:t>
            </w:r>
          </w:p>
        </w:tc>
        <w:tc>
          <w:tcPr>
            <w:tcW w:w="2527"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754" w:type="dxa"/>
            <w:vAlign w:val="center"/>
          </w:tcPr>
          <w:p>
            <w:pPr>
              <w:pStyle w:val="2"/>
              <w:adjustRightInd w:val="0"/>
              <w:snapToGrid w:val="0"/>
              <w:spacing w:after="0" w:line="360" w:lineRule="auto"/>
              <w:rPr>
                <w:rFonts w:ascii="宋体" w:hAnsi="宋体"/>
                <w:color w:val="000000"/>
                <w:sz w:val="21"/>
                <w:szCs w:val="21"/>
              </w:rPr>
            </w:pPr>
          </w:p>
        </w:tc>
        <w:tc>
          <w:tcPr>
            <w:tcW w:w="703" w:type="dxa"/>
            <w:vAlign w:val="center"/>
          </w:tcPr>
          <w:p>
            <w:pPr>
              <w:pStyle w:val="2"/>
              <w:adjustRightInd w:val="0"/>
              <w:snapToGrid w:val="0"/>
              <w:spacing w:after="0"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rPr>
                <w:rFonts w:ascii="宋体" w:hAnsi="宋体"/>
                <w:color w:val="000000"/>
                <w:sz w:val="21"/>
                <w:szCs w:val="21"/>
              </w:rPr>
            </w:pPr>
            <w:r>
              <w:rPr>
                <w:rFonts w:hint="eastAsia" w:ascii="宋体" w:hAnsi="宋体"/>
                <w:color w:val="000000"/>
                <w:sz w:val="21"/>
                <w:szCs w:val="21"/>
              </w:rPr>
              <w:t>……</w:t>
            </w:r>
          </w:p>
        </w:tc>
        <w:tc>
          <w:tcPr>
            <w:tcW w:w="2527"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754" w:type="dxa"/>
            <w:vAlign w:val="center"/>
          </w:tcPr>
          <w:p>
            <w:pPr>
              <w:pStyle w:val="2"/>
              <w:adjustRightInd w:val="0"/>
              <w:snapToGrid w:val="0"/>
              <w:spacing w:after="0" w:line="360" w:lineRule="auto"/>
              <w:rPr>
                <w:rFonts w:ascii="宋体" w:hAnsi="宋体"/>
                <w:color w:val="000000"/>
                <w:sz w:val="21"/>
                <w:szCs w:val="21"/>
              </w:rPr>
            </w:pPr>
          </w:p>
        </w:tc>
        <w:tc>
          <w:tcPr>
            <w:tcW w:w="703" w:type="dxa"/>
            <w:vAlign w:val="center"/>
          </w:tcPr>
          <w:p>
            <w:pPr>
              <w:pStyle w:val="2"/>
              <w:adjustRightInd w:val="0"/>
              <w:snapToGrid w:val="0"/>
              <w:spacing w:after="0"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rPr>
                <w:rFonts w:ascii="宋体" w:hAnsi="宋体"/>
                <w:color w:val="000000"/>
                <w:sz w:val="21"/>
                <w:szCs w:val="21"/>
              </w:rPr>
            </w:pPr>
          </w:p>
        </w:tc>
        <w:tc>
          <w:tcPr>
            <w:tcW w:w="2527"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754" w:type="dxa"/>
            <w:vAlign w:val="center"/>
          </w:tcPr>
          <w:p>
            <w:pPr>
              <w:pStyle w:val="2"/>
              <w:adjustRightInd w:val="0"/>
              <w:snapToGrid w:val="0"/>
              <w:spacing w:after="0" w:line="360" w:lineRule="auto"/>
              <w:rPr>
                <w:rFonts w:ascii="宋体" w:hAnsi="宋体"/>
                <w:color w:val="000000"/>
                <w:sz w:val="21"/>
                <w:szCs w:val="21"/>
              </w:rPr>
            </w:pPr>
          </w:p>
        </w:tc>
        <w:tc>
          <w:tcPr>
            <w:tcW w:w="703" w:type="dxa"/>
            <w:vAlign w:val="center"/>
          </w:tcPr>
          <w:p>
            <w:pPr>
              <w:pStyle w:val="2"/>
              <w:adjustRightInd w:val="0"/>
              <w:snapToGrid w:val="0"/>
              <w:spacing w:after="0"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rPr>
                <w:rFonts w:ascii="宋体" w:hAnsi="宋体"/>
                <w:color w:val="000000"/>
                <w:sz w:val="21"/>
                <w:szCs w:val="21"/>
              </w:rPr>
            </w:pPr>
          </w:p>
        </w:tc>
        <w:tc>
          <w:tcPr>
            <w:tcW w:w="2527"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754" w:type="dxa"/>
            <w:vAlign w:val="center"/>
          </w:tcPr>
          <w:p>
            <w:pPr>
              <w:pStyle w:val="2"/>
              <w:adjustRightInd w:val="0"/>
              <w:snapToGrid w:val="0"/>
              <w:spacing w:after="0" w:line="360" w:lineRule="auto"/>
              <w:rPr>
                <w:rFonts w:ascii="宋体" w:hAnsi="宋体"/>
                <w:color w:val="000000"/>
                <w:sz w:val="21"/>
                <w:szCs w:val="21"/>
              </w:rPr>
            </w:pPr>
          </w:p>
        </w:tc>
        <w:tc>
          <w:tcPr>
            <w:tcW w:w="703" w:type="dxa"/>
            <w:vAlign w:val="center"/>
          </w:tcPr>
          <w:p>
            <w:pPr>
              <w:pStyle w:val="2"/>
              <w:adjustRightInd w:val="0"/>
              <w:snapToGrid w:val="0"/>
              <w:spacing w:after="0"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rPr>
                <w:rFonts w:ascii="宋体" w:hAnsi="宋体"/>
                <w:color w:val="000000"/>
                <w:sz w:val="21"/>
                <w:szCs w:val="21"/>
              </w:rPr>
            </w:pPr>
          </w:p>
        </w:tc>
        <w:tc>
          <w:tcPr>
            <w:tcW w:w="2527"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754" w:type="dxa"/>
            <w:vAlign w:val="center"/>
          </w:tcPr>
          <w:p>
            <w:pPr>
              <w:pStyle w:val="2"/>
              <w:adjustRightInd w:val="0"/>
              <w:snapToGrid w:val="0"/>
              <w:spacing w:after="0" w:line="360" w:lineRule="auto"/>
              <w:rPr>
                <w:rFonts w:ascii="宋体" w:hAnsi="宋体"/>
                <w:color w:val="000000"/>
                <w:sz w:val="21"/>
                <w:szCs w:val="21"/>
              </w:rPr>
            </w:pPr>
          </w:p>
        </w:tc>
        <w:tc>
          <w:tcPr>
            <w:tcW w:w="703" w:type="dxa"/>
            <w:vAlign w:val="center"/>
          </w:tcPr>
          <w:p>
            <w:pPr>
              <w:pStyle w:val="2"/>
              <w:adjustRightInd w:val="0"/>
              <w:snapToGrid w:val="0"/>
              <w:spacing w:after="0"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rPr>
                <w:rFonts w:ascii="宋体" w:hAnsi="宋体"/>
                <w:color w:val="000000"/>
                <w:sz w:val="21"/>
                <w:szCs w:val="21"/>
              </w:rPr>
            </w:pPr>
          </w:p>
        </w:tc>
        <w:tc>
          <w:tcPr>
            <w:tcW w:w="2527"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754" w:type="dxa"/>
            <w:vAlign w:val="center"/>
          </w:tcPr>
          <w:p>
            <w:pPr>
              <w:pStyle w:val="2"/>
              <w:adjustRightInd w:val="0"/>
              <w:snapToGrid w:val="0"/>
              <w:spacing w:after="0" w:line="360" w:lineRule="auto"/>
              <w:rPr>
                <w:rFonts w:ascii="宋体" w:hAnsi="宋体"/>
                <w:color w:val="000000"/>
                <w:sz w:val="21"/>
                <w:szCs w:val="21"/>
              </w:rPr>
            </w:pPr>
          </w:p>
        </w:tc>
        <w:tc>
          <w:tcPr>
            <w:tcW w:w="703" w:type="dxa"/>
            <w:vAlign w:val="center"/>
          </w:tcPr>
          <w:p>
            <w:pPr>
              <w:pStyle w:val="2"/>
              <w:adjustRightInd w:val="0"/>
              <w:snapToGrid w:val="0"/>
              <w:spacing w:after="0"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rPr>
                <w:rFonts w:ascii="宋体" w:hAnsi="宋体"/>
                <w:color w:val="000000"/>
                <w:sz w:val="21"/>
                <w:szCs w:val="21"/>
              </w:rPr>
            </w:pPr>
          </w:p>
        </w:tc>
        <w:tc>
          <w:tcPr>
            <w:tcW w:w="2527"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754" w:type="dxa"/>
            <w:vAlign w:val="center"/>
          </w:tcPr>
          <w:p>
            <w:pPr>
              <w:pStyle w:val="2"/>
              <w:adjustRightInd w:val="0"/>
              <w:snapToGrid w:val="0"/>
              <w:spacing w:after="0" w:line="360" w:lineRule="auto"/>
              <w:rPr>
                <w:rFonts w:ascii="宋体" w:hAnsi="宋体"/>
                <w:color w:val="000000"/>
                <w:sz w:val="21"/>
                <w:szCs w:val="21"/>
              </w:rPr>
            </w:pPr>
          </w:p>
        </w:tc>
        <w:tc>
          <w:tcPr>
            <w:tcW w:w="703" w:type="dxa"/>
            <w:vAlign w:val="center"/>
          </w:tcPr>
          <w:p>
            <w:pPr>
              <w:pStyle w:val="2"/>
              <w:adjustRightInd w:val="0"/>
              <w:snapToGrid w:val="0"/>
              <w:spacing w:after="0" w:line="360" w:lineRule="auto"/>
              <w:rPr>
                <w:rFonts w:ascii="宋体"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896" w:type="dxa"/>
            <w:vAlign w:val="center"/>
          </w:tcPr>
          <w:p>
            <w:pPr>
              <w:pStyle w:val="2"/>
              <w:adjustRightInd w:val="0"/>
              <w:snapToGrid w:val="0"/>
              <w:spacing w:after="0" w:line="360" w:lineRule="auto"/>
              <w:rPr>
                <w:rFonts w:ascii="宋体" w:hAnsi="宋体"/>
                <w:color w:val="000000"/>
                <w:sz w:val="21"/>
                <w:szCs w:val="21"/>
              </w:rPr>
            </w:pPr>
          </w:p>
        </w:tc>
        <w:tc>
          <w:tcPr>
            <w:tcW w:w="2527"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414" w:type="dxa"/>
            <w:vAlign w:val="center"/>
          </w:tcPr>
          <w:p>
            <w:pPr>
              <w:pStyle w:val="2"/>
              <w:adjustRightInd w:val="0"/>
              <w:snapToGrid w:val="0"/>
              <w:spacing w:after="0" w:line="360" w:lineRule="auto"/>
              <w:rPr>
                <w:rFonts w:ascii="宋体" w:hAnsi="宋体"/>
                <w:color w:val="000000"/>
                <w:sz w:val="21"/>
                <w:szCs w:val="21"/>
              </w:rPr>
            </w:pPr>
          </w:p>
        </w:tc>
        <w:tc>
          <w:tcPr>
            <w:tcW w:w="1754" w:type="dxa"/>
            <w:vAlign w:val="center"/>
          </w:tcPr>
          <w:p>
            <w:pPr>
              <w:pStyle w:val="2"/>
              <w:adjustRightInd w:val="0"/>
              <w:snapToGrid w:val="0"/>
              <w:spacing w:after="0" w:line="360" w:lineRule="auto"/>
              <w:rPr>
                <w:rFonts w:ascii="宋体" w:hAnsi="宋体"/>
                <w:color w:val="000000"/>
                <w:sz w:val="21"/>
                <w:szCs w:val="21"/>
              </w:rPr>
            </w:pPr>
          </w:p>
        </w:tc>
        <w:tc>
          <w:tcPr>
            <w:tcW w:w="703" w:type="dxa"/>
            <w:vAlign w:val="center"/>
          </w:tcPr>
          <w:p>
            <w:pPr>
              <w:pStyle w:val="2"/>
              <w:adjustRightInd w:val="0"/>
              <w:snapToGrid w:val="0"/>
              <w:spacing w:after="0" w:line="360" w:lineRule="auto"/>
              <w:rPr>
                <w:rFonts w:ascii="宋体" w:hAnsi="宋体"/>
                <w:color w:val="000000"/>
                <w:sz w:val="21"/>
                <w:szCs w:val="21"/>
              </w:rPr>
            </w:pPr>
          </w:p>
        </w:tc>
      </w:tr>
    </w:tbl>
    <w:p>
      <w:pPr>
        <w:adjustRightInd w:val="0"/>
        <w:snapToGrid w:val="0"/>
        <w:spacing w:line="360" w:lineRule="auto"/>
        <w:rPr>
          <w:rFonts w:ascii="宋体" w:hAnsi="宋体" w:cs="宋体"/>
          <w:color w:val="000000"/>
          <w:szCs w:val="21"/>
        </w:rPr>
      </w:pPr>
      <w:r>
        <w:rPr>
          <w:rFonts w:hint="eastAsia" w:ascii="宋体" w:hAnsi="宋体" w:cs="宋体"/>
          <w:color w:val="000000"/>
          <w:szCs w:val="21"/>
        </w:rPr>
        <w:t>注：提供2021年1月1日至今类似业绩项目，业绩证明材料提供合同协议书或中标（成交）通知书或业主证明材料</w:t>
      </w:r>
      <w:r>
        <w:rPr>
          <w:rFonts w:hint="eastAsia" w:ascii="宋体" w:hAnsi="宋体"/>
          <w:szCs w:val="21"/>
        </w:rPr>
        <w:t>（提供扫描件）。</w:t>
      </w:r>
    </w:p>
    <w:p>
      <w:pPr>
        <w:pStyle w:val="20"/>
        <w:snapToGrid w:val="0"/>
        <w:spacing w:line="360" w:lineRule="auto"/>
        <w:ind w:firstLine="420" w:firstLineChars="200"/>
        <w:rPr>
          <w:rFonts w:ascii="仿宋" w:hAnsi="仿宋" w:cs="仿宋"/>
          <w:color w:val="000000"/>
        </w:rPr>
      </w:pPr>
    </w:p>
    <w:p>
      <w:pPr>
        <w:pStyle w:val="20"/>
        <w:snapToGrid w:val="0"/>
        <w:spacing w:line="360" w:lineRule="auto"/>
        <w:ind w:firstLine="420" w:firstLineChars="200"/>
        <w:rPr>
          <w:rFonts w:ascii="仿宋" w:hAnsi="仿宋" w:cs="仿宋"/>
          <w:color w:val="000000"/>
        </w:rPr>
      </w:pPr>
    </w:p>
    <w:p>
      <w:pPr>
        <w:pStyle w:val="20"/>
        <w:snapToGrid w:val="0"/>
        <w:spacing w:line="360" w:lineRule="auto"/>
        <w:ind w:firstLine="420" w:firstLineChars="200"/>
        <w:rPr>
          <w:rFonts w:ascii="仿宋" w:hAnsi="仿宋" w:cs="仿宋"/>
          <w:color w:val="000000"/>
        </w:rPr>
      </w:pPr>
      <w:r>
        <w:rPr>
          <w:rFonts w:hint="eastAsia" w:ascii="仿宋" w:hAnsi="仿宋" w:cs="仿宋"/>
          <w:color w:val="000000"/>
        </w:rPr>
        <w:t xml:space="preserve"> </w:t>
      </w: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adjustRightInd w:val="0"/>
        <w:snapToGrid w:val="0"/>
        <w:spacing w:line="360" w:lineRule="auto"/>
        <w:rPr>
          <w:rFonts w:ascii="宋体" w:hAnsi="宋体" w:cs="宋体"/>
          <w:color w:val="000000"/>
        </w:rPr>
      </w:pPr>
    </w:p>
    <w:p>
      <w:pPr>
        <w:rPr>
          <w:rFonts w:ascii="宋体" w:hAnsi="宋体"/>
          <w:b/>
          <w:szCs w:val="21"/>
        </w:rPr>
      </w:pPr>
      <w:r>
        <w:rPr>
          <w:rFonts w:hint="eastAsia" w:ascii="宋体" w:hAnsi="宋体"/>
          <w:b/>
          <w:szCs w:val="21"/>
        </w:rPr>
        <w:br w:type="page"/>
      </w:r>
    </w:p>
    <w:p>
      <w:pPr>
        <w:tabs>
          <w:tab w:val="left" w:pos="596"/>
          <w:tab w:val="left" w:pos="4536"/>
        </w:tabs>
        <w:adjustRightInd w:val="0"/>
        <w:snapToGrid w:val="0"/>
        <w:spacing w:line="360" w:lineRule="auto"/>
        <w:jc w:val="center"/>
        <w:outlineLvl w:val="2"/>
        <w:rPr>
          <w:rFonts w:ascii="宋体" w:hAnsi="宋体"/>
          <w:b/>
          <w:szCs w:val="21"/>
        </w:rPr>
      </w:pPr>
      <w:r>
        <w:rPr>
          <w:rFonts w:hint="eastAsia" w:ascii="宋体" w:hAnsi="宋体"/>
          <w:b/>
          <w:szCs w:val="21"/>
        </w:rPr>
        <w:t>3.9.2技术服务团队</w:t>
      </w:r>
    </w:p>
    <w:p>
      <w:pPr>
        <w:adjustRightInd w:val="0"/>
        <w:snapToGrid w:val="0"/>
        <w:spacing w:line="360" w:lineRule="auto"/>
        <w:ind w:firstLine="422" w:firstLineChars="200"/>
        <w:jc w:val="center"/>
        <w:rPr>
          <w:rFonts w:ascii="宋体" w:hAnsi="宋体" w:cs="宋体"/>
          <w:b/>
          <w:kern w:val="0"/>
          <w:szCs w:val="21"/>
        </w:rPr>
      </w:pPr>
      <w:r>
        <w:rPr>
          <w:rFonts w:hint="eastAsia" w:ascii="宋体" w:hAnsi="宋体" w:cs="宋体"/>
          <w:b/>
          <w:kern w:val="0"/>
          <w:szCs w:val="21"/>
        </w:rPr>
        <w:t>拟派往本项目的人员配备情况表</w:t>
      </w:r>
    </w:p>
    <w:tbl>
      <w:tblPr>
        <w:tblStyle w:val="40"/>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424"/>
        <w:gridCol w:w="638"/>
        <w:gridCol w:w="638"/>
        <w:gridCol w:w="638"/>
        <w:gridCol w:w="1060"/>
        <w:gridCol w:w="3014"/>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b/>
                <w:bCs/>
                <w:szCs w:val="21"/>
              </w:rPr>
            </w:pPr>
            <w:r>
              <w:rPr>
                <w:rFonts w:hint="eastAsia" w:ascii="宋体" w:hAnsi="宋体"/>
                <w:b/>
                <w:bCs/>
                <w:szCs w:val="21"/>
              </w:rPr>
              <w:t>序号</w:t>
            </w:r>
          </w:p>
        </w:tc>
        <w:tc>
          <w:tcPr>
            <w:tcW w:w="1424" w:type="dxa"/>
            <w:vAlign w:val="center"/>
          </w:tcPr>
          <w:p>
            <w:pPr>
              <w:wordWrap w:val="0"/>
              <w:adjustRightInd w:val="0"/>
              <w:snapToGrid w:val="0"/>
              <w:spacing w:line="360" w:lineRule="auto"/>
              <w:jc w:val="center"/>
              <w:rPr>
                <w:rFonts w:ascii="宋体" w:hAnsi="宋体"/>
                <w:b/>
                <w:bCs/>
                <w:szCs w:val="21"/>
              </w:rPr>
            </w:pPr>
            <w:r>
              <w:rPr>
                <w:rFonts w:hint="eastAsia" w:ascii="宋体" w:hAnsi="宋体"/>
                <w:b/>
                <w:bCs/>
                <w:szCs w:val="21"/>
              </w:rPr>
              <w:t>岗位</w:t>
            </w:r>
          </w:p>
        </w:tc>
        <w:tc>
          <w:tcPr>
            <w:tcW w:w="638" w:type="dxa"/>
            <w:vAlign w:val="center"/>
          </w:tcPr>
          <w:p>
            <w:pPr>
              <w:wordWrap w:val="0"/>
              <w:adjustRightInd w:val="0"/>
              <w:snapToGrid w:val="0"/>
              <w:spacing w:line="360" w:lineRule="auto"/>
              <w:jc w:val="center"/>
              <w:rPr>
                <w:rFonts w:ascii="宋体" w:hAnsi="宋体"/>
                <w:b/>
                <w:bCs/>
                <w:szCs w:val="21"/>
              </w:rPr>
            </w:pPr>
            <w:r>
              <w:rPr>
                <w:rFonts w:hint="eastAsia" w:ascii="宋体" w:hAnsi="宋体"/>
                <w:b/>
                <w:bCs/>
                <w:szCs w:val="21"/>
              </w:rPr>
              <w:t>姓名</w:t>
            </w:r>
          </w:p>
        </w:tc>
        <w:tc>
          <w:tcPr>
            <w:tcW w:w="638" w:type="dxa"/>
            <w:vAlign w:val="center"/>
          </w:tcPr>
          <w:p>
            <w:pPr>
              <w:wordWrap w:val="0"/>
              <w:adjustRightInd w:val="0"/>
              <w:snapToGrid w:val="0"/>
              <w:spacing w:line="360" w:lineRule="auto"/>
              <w:jc w:val="center"/>
              <w:rPr>
                <w:rFonts w:ascii="宋体" w:hAnsi="宋体"/>
                <w:b/>
                <w:bCs/>
                <w:szCs w:val="21"/>
              </w:rPr>
            </w:pPr>
            <w:r>
              <w:rPr>
                <w:rFonts w:hint="eastAsia" w:ascii="宋体" w:hAnsi="宋体"/>
                <w:b/>
                <w:bCs/>
                <w:szCs w:val="21"/>
              </w:rPr>
              <w:t>学历</w:t>
            </w:r>
          </w:p>
        </w:tc>
        <w:tc>
          <w:tcPr>
            <w:tcW w:w="638" w:type="dxa"/>
            <w:vAlign w:val="center"/>
          </w:tcPr>
          <w:p>
            <w:pPr>
              <w:wordWrap w:val="0"/>
              <w:adjustRightInd w:val="0"/>
              <w:snapToGrid w:val="0"/>
              <w:spacing w:line="360" w:lineRule="auto"/>
              <w:jc w:val="center"/>
              <w:rPr>
                <w:rFonts w:ascii="宋体" w:hAnsi="宋体"/>
                <w:b/>
                <w:bCs/>
                <w:szCs w:val="21"/>
              </w:rPr>
            </w:pPr>
            <w:r>
              <w:rPr>
                <w:rFonts w:hint="eastAsia" w:ascii="宋体" w:hAnsi="宋体"/>
                <w:b/>
                <w:bCs/>
                <w:szCs w:val="21"/>
              </w:rPr>
              <w:t>职称</w:t>
            </w:r>
          </w:p>
        </w:tc>
        <w:tc>
          <w:tcPr>
            <w:tcW w:w="1060" w:type="dxa"/>
            <w:vAlign w:val="center"/>
          </w:tcPr>
          <w:p>
            <w:pPr>
              <w:wordWrap w:val="0"/>
              <w:adjustRightInd w:val="0"/>
              <w:snapToGrid w:val="0"/>
              <w:spacing w:line="360" w:lineRule="auto"/>
              <w:jc w:val="center"/>
              <w:rPr>
                <w:rFonts w:ascii="宋体" w:hAnsi="宋体"/>
                <w:b/>
                <w:bCs/>
                <w:szCs w:val="21"/>
              </w:rPr>
            </w:pPr>
            <w:r>
              <w:rPr>
                <w:rFonts w:hint="eastAsia" w:ascii="宋体" w:hAnsi="宋体"/>
                <w:b/>
                <w:bCs/>
                <w:szCs w:val="21"/>
              </w:rPr>
              <w:t>相关证书</w:t>
            </w:r>
          </w:p>
        </w:tc>
        <w:tc>
          <w:tcPr>
            <w:tcW w:w="3014" w:type="dxa"/>
            <w:vAlign w:val="center"/>
          </w:tcPr>
          <w:p>
            <w:pPr>
              <w:wordWrap w:val="0"/>
              <w:autoSpaceDE w:val="0"/>
              <w:autoSpaceDN w:val="0"/>
              <w:adjustRightInd w:val="0"/>
              <w:snapToGrid w:val="0"/>
              <w:spacing w:line="360" w:lineRule="auto"/>
              <w:jc w:val="center"/>
              <w:rPr>
                <w:rFonts w:ascii="宋体" w:hAnsi="宋体" w:cs="宋体"/>
                <w:kern w:val="0"/>
                <w:szCs w:val="21"/>
              </w:rPr>
            </w:pPr>
            <w:r>
              <w:rPr>
                <w:rFonts w:hint="eastAsia" w:ascii="宋体" w:hAnsi="宋体"/>
                <w:b/>
                <w:bCs/>
                <w:szCs w:val="21"/>
              </w:rPr>
              <w:t>服务内容</w:t>
            </w:r>
          </w:p>
        </w:tc>
        <w:tc>
          <w:tcPr>
            <w:tcW w:w="850" w:type="dxa"/>
            <w:vAlign w:val="center"/>
          </w:tcPr>
          <w:p>
            <w:pPr>
              <w:wordWrap w:val="0"/>
              <w:autoSpaceDE w:val="0"/>
              <w:autoSpaceDN w:val="0"/>
              <w:adjustRightInd w:val="0"/>
              <w:snapToGrid w:val="0"/>
              <w:spacing w:line="360" w:lineRule="auto"/>
              <w:jc w:val="center"/>
              <w:rPr>
                <w:rFonts w:ascii="宋体" w:hAnsi="宋体"/>
                <w:b/>
                <w:bCs/>
                <w:szCs w:val="21"/>
              </w:rPr>
            </w:pPr>
            <w:r>
              <w:rPr>
                <w:rFonts w:hint="eastAsia" w:ascii="宋体" w:hAnsi="宋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szCs w:val="21"/>
              </w:rPr>
            </w:pPr>
          </w:p>
        </w:tc>
        <w:tc>
          <w:tcPr>
            <w:tcW w:w="1424" w:type="dxa"/>
            <w:vAlign w:val="center"/>
          </w:tcPr>
          <w:p>
            <w:pPr>
              <w:wordWrap w:val="0"/>
              <w:adjustRightInd w:val="0"/>
              <w:snapToGrid w:val="0"/>
              <w:spacing w:line="360" w:lineRule="auto"/>
              <w:jc w:val="center"/>
              <w:rPr>
                <w:rFonts w:ascii="宋体" w:hAnsi="宋体"/>
                <w:szCs w:val="21"/>
              </w:rPr>
            </w:pPr>
            <w:r>
              <w:rPr>
                <w:rFonts w:hint="eastAsia" w:ascii="宋体" w:hAnsi="宋体"/>
                <w:szCs w:val="21"/>
              </w:rPr>
              <w:t>项目组成员1</w:t>
            </w: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1060" w:type="dxa"/>
            <w:vAlign w:val="center"/>
          </w:tcPr>
          <w:p>
            <w:pPr>
              <w:wordWrap w:val="0"/>
              <w:adjustRightInd w:val="0"/>
              <w:snapToGrid w:val="0"/>
              <w:spacing w:line="360" w:lineRule="auto"/>
              <w:jc w:val="center"/>
              <w:rPr>
                <w:rFonts w:ascii="宋体" w:hAnsi="宋体"/>
                <w:szCs w:val="21"/>
              </w:rPr>
            </w:pPr>
          </w:p>
        </w:tc>
        <w:tc>
          <w:tcPr>
            <w:tcW w:w="3014" w:type="dxa"/>
            <w:vAlign w:val="center"/>
          </w:tcPr>
          <w:p>
            <w:pPr>
              <w:wordWrap w:val="0"/>
              <w:adjustRightInd w:val="0"/>
              <w:snapToGrid w:val="0"/>
              <w:spacing w:line="360" w:lineRule="auto"/>
              <w:jc w:val="center"/>
              <w:rPr>
                <w:rFonts w:ascii="宋体" w:hAnsi="宋体"/>
                <w:szCs w:val="21"/>
              </w:rPr>
            </w:pPr>
          </w:p>
        </w:tc>
        <w:tc>
          <w:tcPr>
            <w:tcW w:w="850" w:type="dxa"/>
            <w:vAlign w:val="center"/>
          </w:tcPr>
          <w:p>
            <w:pPr>
              <w:wordWrap w:val="0"/>
              <w:adjustRightInd w:val="0"/>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szCs w:val="21"/>
              </w:rPr>
            </w:pPr>
          </w:p>
        </w:tc>
        <w:tc>
          <w:tcPr>
            <w:tcW w:w="1424" w:type="dxa"/>
            <w:vAlign w:val="center"/>
          </w:tcPr>
          <w:p>
            <w:pPr>
              <w:wordWrap w:val="0"/>
              <w:adjustRightInd w:val="0"/>
              <w:snapToGrid w:val="0"/>
              <w:spacing w:line="360" w:lineRule="auto"/>
              <w:jc w:val="center"/>
              <w:rPr>
                <w:rFonts w:ascii="宋体" w:hAnsi="宋体"/>
                <w:szCs w:val="21"/>
              </w:rPr>
            </w:pPr>
            <w:r>
              <w:rPr>
                <w:rFonts w:hint="eastAsia" w:ascii="宋体" w:hAnsi="宋体"/>
                <w:szCs w:val="21"/>
              </w:rPr>
              <w:t>项目组成员2</w:t>
            </w: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1060" w:type="dxa"/>
            <w:vAlign w:val="center"/>
          </w:tcPr>
          <w:p>
            <w:pPr>
              <w:wordWrap w:val="0"/>
              <w:adjustRightInd w:val="0"/>
              <w:snapToGrid w:val="0"/>
              <w:spacing w:line="360" w:lineRule="auto"/>
              <w:jc w:val="center"/>
              <w:rPr>
                <w:rFonts w:ascii="宋体" w:hAnsi="宋体"/>
                <w:szCs w:val="21"/>
              </w:rPr>
            </w:pPr>
          </w:p>
        </w:tc>
        <w:tc>
          <w:tcPr>
            <w:tcW w:w="3014" w:type="dxa"/>
            <w:vAlign w:val="center"/>
          </w:tcPr>
          <w:p>
            <w:pPr>
              <w:wordWrap w:val="0"/>
              <w:adjustRightInd w:val="0"/>
              <w:snapToGrid w:val="0"/>
              <w:spacing w:line="360" w:lineRule="auto"/>
              <w:jc w:val="center"/>
              <w:rPr>
                <w:rFonts w:ascii="宋体" w:hAnsi="宋体"/>
                <w:szCs w:val="21"/>
              </w:rPr>
            </w:pPr>
          </w:p>
        </w:tc>
        <w:tc>
          <w:tcPr>
            <w:tcW w:w="850" w:type="dxa"/>
            <w:vAlign w:val="center"/>
          </w:tcPr>
          <w:p>
            <w:pPr>
              <w:wordWrap w:val="0"/>
              <w:adjustRightInd w:val="0"/>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szCs w:val="21"/>
              </w:rPr>
            </w:pPr>
          </w:p>
        </w:tc>
        <w:tc>
          <w:tcPr>
            <w:tcW w:w="1424" w:type="dxa"/>
            <w:vAlign w:val="center"/>
          </w:tcPr>
          <w:p>
            <w:pPr>
              <w:wordWrap w:val="0"/>
              <w:adjustRightInd w:val="0"/>
              <w:snapToGrid w:val="0"/>
              <w:spacing w:line="360" w:lineRule="auto"/>
              <w:jc w:val="center"/>
              <w:rPr>
                <w:rFonts w:ascii="宋体" w:hAnsi="宋体"/>
                <w:szCs w:val="21"/>
              </w:rPr>
            </w:pPr>
            <w:r>
              <w:rPr>
                <w:rFonts w:hint="eastAsia" w:ascii="宋体" w:hAnsi="宋体"/>
                <w:szCs w:val="21"/>
              </w:rPr>
              <w:t>项目组成员3</w:t>
            </w: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1060" w:type="dxa"/>
            <w:vAlign w:val="center"/>
          </w:tcPr>
          <w:p>
            <w:pPr>
              <w:wordWrap w:val="0"/>
              <w:adjustRightInd w:val="0"/>
              <w:snapToGrid w:val="0"/>
              <w:spacing w:line="360" w:lineRule="auto"/>
              <w:jc w:val="center"/>
              <w:rPr>
                <w:rFonts w:ascii="宋体" w:hAnsi="宋体"/>
                <w:szCs w:val="21"/>
              </w:rPr>
            </w:pPr>
          </w:p>
        </w:tc>
        <w:tc>
          <w:tcPr>
            <w:tcW w:w="3014" w:type="dxa"/>
            <w:vAlign w:val="center"/>
          </w:tcPr>
          <w:p>
            <w:pPr>
              <w:wordWrap w:val="0"/>
              <w:adjustRightInd w:val="0"/>
              <w:snapToGrid w:val="0"/>
              <w:spacing w:line="360" w:lineRule="auto"/>
              <w:jc w:val="center"/>
              <w:rPr>
                <w:rFonts w:ascii="宋体" w:hAnsi="宋体"/>
                <w:szCs w:val="21"/>
              </w:rPr>
            </w:pPr>
          </w:p>
        </w:tc>
        <w:tc>
          <w:tcPr>
            <w:tcW w:w="850" w:type="dxa"/>
            <w:vAlign w:val="center"/>
          </w:tcPr>
          <w:p>
            <w:pPr>
              <w:wordWrap w:val="0"/>
              <w:adjustRightInd w:val="0"/>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szCs w:val="21"/>
              </w:rPr>
            </w:pPr>
          </w:p>
        </w:tc>
        <w:tc>
          <w:tcPr>
            <w:tcW w:w="1424" w:type="dxa"/>
            <w:vAlign w:val="center"/>
          </w:tcPr>
          <w:p>
            <w:pPr>
              <w:wordWrap w:val="0"/>
              <w:adjustRightInd w:val="0"/>
              <w:snapToGrid w:val="0"/>
              <w:spacing w:line="360" w:lineRule="auto"/>
              <w:jc w:val="center"/>
              <w:rPr>
                <w:rFonts w:ascii="宋体" w:hAnsi="宋体"/>
                <w:szCs w:val="21"/>
              </w:rPr>
            </w:pPr>
            <w:r>
              <w:rPr>
                <w:rFonts w:hint="eastAsia" w:ascii="宋体" w:hAnsi="宋体"/>
                <w:szCs w:val="21"/>
              </w:rPr>
              <w:t>项目组成员4</w:t>
            </w: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1060" w:type="dxa"/>
            <w:vAlign w:val="center"/>
          </w:tcPr>
          <w:p>
            <w:pPr>
              <w:wordWrap w:val="0"/>
              <w:adjustRightInd w:val="0"/>
              <w:snapToGrid w:val="0"/>
              <w:spacing w:line="360" w:lineRule="auto"/>
              <w:jc w:val="center"/>
              <w:rPr>
                <w:rFonts w:ascii="宋体" w:hAnsi="宋体"/>
                <w:szCs w:val="21"/>
              </w:rPr>
            </w:pPr>
          </w:p>
        </w:tc>
        <w:tc>
          <w:tcPr>
            <w:tcW w:w="3014" w:type="dxa"/>
            <w:vAlign w:val="center"/>
          </w:tcPr>
          <w:p>
            <w:pPr>
              <w:wordWrap w:val="0"/>
              <w:adjustRightInd w:val="0"/>
              <w:snapToGrid w:val="0"/>
              <w:spacing w:line="360" w:lineRule="auto"/>
              <w:jc w:val="center"/>
              <w:rPr>
                <w:rFonts w:ascii="宋体" w:hAnsi="宋体"/>
                <w:szCs w:val="21"/>
              </w:rPr>
            </w:pPr>
          </w:p>
        </w:tc>
        <w:tc>
          <w:tcPr>
            <w:tcW w:w="850" w:type="dxa"/>
            <w:vAlign w:val="center"/>
          </w:tcPr>
          <w:p>
            <w:pPr>
              <w:wordWrap w:val="0"/>
              <w:adjustRightInd w:val="0"/>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szCs w:val="21"/>
              </w:rPr>
            </w:pPr>
            <w:r>
              <w:rPr>
                <w:rFonts w:ascii="宋体" w:hAnsi="宋体"/>
                <w:szCs w:val="21"/>
              </w:rPr>
              <w:t>…</w:t>
            </w:r>
          </w:p>
        </w:tc>
        <w:tc>
          <w:tcPr>
            <w:tcW w:w="1424" w:type="dxa"/>
            <w:vAlign w:val="center"/>
          </w:tcPr>
          <w:p>
            <w:pPr>
              <w:wordWrap w:val="0"/>
              <w:adjustRightInd w:val="0"/>
              <w:snapToGrid w:val="0"/>
              <w:spacing w:line="360" w:lineRule="auto"/>
              <w:jc w:val="center"/>
              <w:rPr>
                <w:rFonts w:ascii="宋体" w:hAnsi="宋体"/>
                <w:szCs w:val="21"/>
              </w:rPr>
            </w:pPr>
            <w:r>
              <w:rPr>
                <w:rFonts w:ascii="宋体" w:hAnsi="宋体"/>
                <w:szCs w:val="21"/>
              </w:rPr>
              <w:t>…</w:t>
            </w: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1060" w:type="dxa"/>
            <w:vAlign w:val="center"/>
          </w:tcPr>
          <w:p>
            <w:pPr>
              <w:wordWrap w:val="0"/>
              <w:adjustRightInd w:val="0"/>
              <w:snapToGrid w:val="0"/>
              <w:spacing w:line="360" w:lineRule="auto"/>
              <w:jc w:val="center"/>
              <w:rPr>
                <w:rFonts w:ascii="宋体" w:hAnsi="宋体"/>
                <w:szCs w:val="21"/>
              </w:rPr>
            </w:pPr>
          </w:p>
        </w:tc>
        <w:tc>
          <w:tcPr>
            <w:tcW w:w="3014" w:type="dxa"/>
            <w:vAlign w:val="center"/>
          </w:tcPr>
          <w:p>
            <w:pPr>
              <w:wordWrap w:val="0"/>
              <w:adjustRightInd w:val="0"/>
              <w:snapToGrid w:val="0"/>
              <w:spacing w:line="360" w:lineRule="auto"/>
              <w:jc w:val="center"/>
              <w:rPr>
                <w:rFonts w:ascii="宋体" w:hAnsi="宋体"/>
                <w:szCs w:val="21"/>
              </w:rPr>
            </w:pPr>
          </w:p>
        </w:tc>
        <w:tc>
          <w:tcPr>
            <w:tcW w:w="850" w:type="dxa"/>
            <w:vAlign w:val="center"/>
          </w:tcPr>
          <w:p>
            <w:pPr>
              <w:wordWrap w:val="0"/>
              <w:adjustRightInd w:val="0"/>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szCs w:val="21"/>
              </w:rPr>
            </w:pPr>
          </w:p>
        </w:tc>
        <w:tc>
          <w:tcPr>
            <w:tcW w:w="1424"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1060" w:type="dxa"/>
            <w:vAlign w:val="center"/>
          </w:tcPr>
          <w:p>
            <w:pPr>
              <w:wordWrap w:val="0"/>
              <w:adjustRightInd w:val="0"/>
              <w:snapToGrid w:val="0"/>
              <w:spacing w:line="360" w:lineRule="auto"/>
              <w:jc w:val="center"/>
              <w:rPr>
                <w:rFonts w:ascii="宋体" w:hAnsi="宋体"/>
                <w:szCs w:val="21"/>
              </w:rPr>
            </w:pPr>
          </w:p>
        </w:tc>
        <w:tc>
          <w:tcPr>
            <w:tcW w:w="3014" w:type="dxa"/>
            <w:vAlign w:val="center"/>
          </w:tcPr>
          <w:p>
            <w:pPr>
              <w:wordWrap w:val="0"/>
              <w:adjustRightInd w:val="0"/>
              <w:snapToGrid w:val="0"/>
              <w:spacing w:line="360" w:lineRule="auto"/>
              <w:jc w:val="center"/>
              <w:rPr>
                <w:rFonts w:ascii="宋体" w:hAnsi="宋体"/>
                <w:szCs w:val="21"/>
              </w:rPr>
            </w:pPr>
          </w:p>
        </w:tc>
        <w:tc>
          <w:tcPr>
            <w:tcW w:w="850" w:type="dxa"/>
            <w:vAlign w:val="center"/>
          </w:tcPr>
          <w:p>
            <w:pPr>
              <w:wordWrap w:val="0"/>
              <w:adjustRightInd w:val="0"/>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szCs w:val="21"/>
              </w:rPr>
            </w:pPr>
          </w:p>
        </w:tc>
        <w:tc>
          <w:tcPr>
            <w:tcW w:w="1424"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1060" w:type="dxa"/>
            <w:vAlign w:val="center"/>
          </w:tcPr>
          <w:p>
            <w:pPr>
              <w:wordWrap w:val="0"/>
              <w:adjustRightInd w:val="0"/>
              <w:snapToGrid w:val="0"/>
              <w:spacing w:line="360" w:lineRule="auto"/>
              <w:jc w:val="center"/>
              <w:rPr>
                <w:rFonts w:ascii="宋体" w:hAnsi="宋体"/>
                <w:szCs w:val="21"/>
              </w:rPr>
            </w:pPr>
          </w:p>
        </w:tc>
        <w:tc>
          <w:tcPr>
            <w:tcW w:w="3014" w:type="dxa"/>
            <w:vAlign w:val="center"/>
          </w:tcPr>
          <w:p>
            <w:pPr>
              <w:wordWrap w:val="0"/>
              <w:adjustRightInd w:val="0"/>
              <w:snapToGrid w:val="0"/>
              <w:spacing w:line="360" w:lineRule="auto"/>
              <w:jc w:val="center"/>
              <w:rPr>
                <w:rFonts w:ascii="宋体" w:hAnsi="宋体"/>
                <w:szCs w:val="21"/>
              </w:rPr>
            </w:pPr>
          </w:p>
        </w:tc>
        <w:tc>
          <w:tcPr>
            <w:tcW w:w="850" w:type="dxa"/>
            <w:vAlign w:val="center"/>
          </w:tcPr>
          <w:p>
            <w:pPr>
              <w:wordWrap w:val="0"/>
              <w:adjustRightInd w:val="0"/>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szCs w:val="21"/>
              </w:rPr>
            </w:pPr>
          </w:p>
        </w:tc>
        <w:tc>
          <w:tcPr>
            <w:tcW w:w="1424"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1060" w:type="dxa"/>
            <w:vAlign w:val="center"/>
          </w:tcPr>
          <w:p>
            <w:pPr>
              <w:wordWrap w:val="0"/>
              <w:adjustRightInd w:val="0"/>
              <w:snapToGrid w:val="0"/>
              <w:spacing w:line="360" w:lineRule="auto"/>
              <w:jc w:val="center"/>
              <w:rPr>
                <w:rFonts w:ascii="宋体" w:hAnsi="宋体"/>
                <w:szCs w:val="21"/>
              </w:rPr>
            </w:pPr>
          </w:p>
        </w:tc>
        <w:tc>
          <w:tcPr>
            <w:tcW w:w="3014" w:type="dxa"/>
            <w:vAlign w:val="center"/>
          </w:tcPr>
          <w:p>
            <w:pPr>
              <w:wordWrap w:val="0"/>
              <w:adjustRightInd w:val="0"/>
              <w:snapToGrid w:val="0"/>
              <w:spacing w:line="360" w:lineRule="auto"/>
              <w:jc w:val="center"/>
              <w:rPr>
                <w:rFonts w:ascii="宋体" w:hAnsi="宋体"/>
                <w:szCs w:val="21"/>
              </w:rPr>
            </w:pPr>
          </w:p>
        </w:tc>
        <w:tc>
          <w:tcPr>
            <w:tcW w:w="850" w:type="dxa"/>
            <w:vAlign w:val="center"/>
          </w:tcPr>
          <w:p>
            <w:pPr>
              <w:wordWrap w:val="0"/>
              <w:adjustRightInd w:val="0"/>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szCs w:val="21"/>
              </w:rPr>
            </w:pPr>
          </w:p>
        </w:tc>
        <w:tc>
          <w:tcPr>
            <w:tcW w:w="1424"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1060" w:type="dxa"/>
            <w:vAlign w:val="center"/>
          </w:tcPr>
          <w:p>
            <w:pPr>
              <w:wordWrap w:val="0"/>
              <w:adjustRightInd w:val="0"/>
              <w:snapToGrid w:val="0"/>
              <w:spacing w:line="360" w:lineRule="auto"/>
              <w:jc w:val="center"/>
              <w:rPr>
                <w:rFonts w:ascii="宋体" w:hAnsi="宋体"/>
                <w:szCs w:val="21"/>
              </w:rPr>
            </w:pPr>
          </w:p>
        </w:tc>
        <w:tc>
          <w:tcPr>
            <w:tcW w:w="3014" w:type="dxa"/>
            <w:vAlign w:val="center"/>
          </w:tcPr>
          <w:p>
            <w:pPr>
              <w:wordWrap w:val="0"/>
              <w:adjustRightInd w:val="0"/>
              <w:snapToGrid w:val="0"/>
              <w:spacing w:line="360" w:lineRule="auto"/>
              <w:jc w:val="center"/>
              <w:rPr>
                <w:rFonts w:ascii="宋体" w:hAnsi="宋体"/>
                <w:szCs w:val="21"/>
              </w:rPr>
            </w:pPr>
          </w:p>
        </w:tc>
        <w:tc>
          <w:tcPr>
            <w:tcW w:w="850" w:type="dxa"/>
            <w:vAlign w:val="center"/>
          </w:tcPr>
          <w:p>
            <w:pPr>
              <w:wordWrap w:val="0"/>
              <w:adjustRightInd w:val="0"/>
              <w:snapToGrid w:val="0"/>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38" w:type="dxa"/>
            <w:vAlign w:val="center"/>
          </w:tcPr>
          <w:p>
            <w:pPr>
              <w:wordWrap w:val="0"/>
              <w:adjustRightInd w:val="0"/>
              <w:snapToGrid w:val="0"/>
              <w:spacing w:line="360" w:lineRule="auto"/>
              <w:jc w:val="center"/>
              <w:rPr>
                <w:rFonts w:ascii="宋体" w:hAnsi="宋体"/>
                <w:szCs w:val="21"/>
              </w:rPr>
            </w:pPr>
          </w:p>
        </w:tc>
        <w:tc>
          <w:tcPr>
            <w:tcW w:w="1424"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638" w:type="dxa"/>
            <w:vAlign w:val="center"/>
          </w:tcPr>
          <w:p>
            <w:pPr>
              <w:wordWrap w:val="0"/>
              <w:adjustRightInd w:val="0"/>
              <w:snapToGrid w:val="0"/>
              <w:spacing w:line="360" w:lineRule="auto"/>
              <w:jc w:val="center"/>
              <w:rPr>
                <w:rFonts w:ascii="宋体" w:hAnsi="宋体"/>
                <w:szCs w:val="21"/>
              </w:rPr>
            </w:pPr>
          </w:p>
        </w:tc>
        <w:tc>
          <w:tcPr>
            <w:tcW w:w="1060" w:type="dxa"/>
            <w:vAlign w:val="center"/>
          </w:tcPr>
          <w:p>
            <w:pPr>
              <w:wordWrap w:val="0"/>
              <w:adjustRightInd w:val="0"/>
              <w:snapToGrid w:val="0"/>
              <w:spacing w:line="360" w:lineRule="auto"/>
              <w:jc w:val="center"/>
              <w:rPr>
                <w:rFonts w:ascii="宋体" w:hAnsi="宋体"/>
                <w:szCs w:val="21"/>
              </w:rPr>
            </w:pPr>
          </w:p>
        </w:tc>
        <w:tc>
          <w:tcPr>
            <w:tcW w:w="3014" w:type="dxa"/>
            <w:vAlign w:val="center"/>
          </w:tcPr>
          <w:p>
            <w:pPr>
              <w:wordWrap w:val="0"/>
              <w:adjustRightInd w:val="0"/>
              <w:snapToGrid w:val="0"/>
              <w:spacing w:line="360" w:lineRule="auto"/>
              <w:jc w:val="center"/>
              <w:rPr>
                <w:rFonts w:ascii="宋体" w:hAnsi="宋体"/>
                <w:szCs w:val="21"/>
              </w:rPr>
            </w:pPr>
          </w:p>
        </w:tc>
        <w:tc>
          <w:tcPr>
            <w:tcW w:w="850" w:type="dxa"/>
            <w:vAlign w:val="center"/>
          </w:tcPr>
          <w:p>
            <w:pPr>
              <w:wordWrap w:val="0"/>
              <w:adjustRightInd w:val="0"/>
              <w:snapToGrid w:val="0"/>
              <w:spacing w:line="360" w:lineRule="auto"/>
              <w:jc w:val="center"/>
              <w:rPr>
                <w:rFonts w:ascii="宋体" w:hAnsi="宋体"/>
                <w:szCs w:val="21"/>
              </w:rPr>
            </w:pPr>
          </w:p>
        </w:tc>
      </w:tr>
    </w:tbl>
    <w:p>
      <w:pPr>
        <w:pStyle w:val="4"/>
        <w:adjustRightInd w:val="0"/>
        <w:snapToGrid w:val="0"/>
        <w:spacing w:before="0" w:after="0"/>
        <w:jc w:val="left"/>
      </w:pPr>
      <w:r>
        <w:rPr>
          <w:rFonts w:hint="eastAsia" w:ascii="宋体" w:hAnsi="宋体"/>
          <w:b w:val="0"/>
          <w:bCs w:val="0"/>
          <w:sz w:val="21"/>
          <w:szCs w:val="21"/>
        </w:rPr>
        <w:t>说明：以上人员提供身份证、学历证、职称证书（如有）、资格证（如有）、社保缴纳证明或劳动合同等。</w:t>
      </w:r>
      <w:r>
        <w:rPr>
          <w:rFonts w:ascii="宋体" w:hAnsi="宋体" w:cs="宋体"/>
          <w:color w:val="000000"/>
          <w:sz w:val="21"/>
          <w:szCs w:val="21"/>
        </w:rPr>
        <w:br w:type="page"/>
      </w:r>
    </w:p>
    <w:p>
      <w:pPr>
        <w:pStyle w:val="4"/>
        <w:adjustRightInd w:val="0"/>
        <w:snapToGrid w:val="0"/>
        <w:spacing w:before="0" w:after="0"/>
      </w:pPr>
      <w:bookmarkStart w:id="678" w:name="_Toc22458"/>
      <w:bookmarkStart w:id="679" w:name="_Toc11904"/>
      <w:bookmarkStart w:id="680" w:name="_Toc34335352"/>
      <w:bookmarkStart w:id="681" w:name="_Toc10517"/>
      <w:bookmarkStart w:id="682" w:name="_Toc32652"/>
      <w:bookmarkStart w:id="683" w:name="_Toc502909071"/>
      <w:bookmarkStart w:id="684" w:name="_Toc14766"/>
      <w:r>
        <w:rPr>
          <w:rFonts w:hint="eastAsia"/>
        </w:rPr>
        <w:t>三、技术文件</w:t>
      </w:r>
      <w:bookmarkEnd w:id="678"/>
      <w:bookmarkEnd w:id="679"/>
      <w:bookmarkEnd w:id="680"/>
      <w:bookmarkEnd w:id="681"/>
      <w:bookmarkEnd w:id="682"/>
      <w:bookmarkEnd w:id="683"/>
      <w:bookmarkEnd w:id="684"/>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 xml:space="preserve">供应商根据采购人需求并结合自身实力向采购人提供相关技术文件，技术文件应包含（但不限于）以下内容： </w:t>
      </w:r>
    </w:p>
    <w:p>
      <w:pPr>
        <w:wordWrap w:val="0"/>
        <w:adjustRightInd w:val="0"/>
        <w:snapToGrid w:val="0"/>
        <w:spacing w:line="360" w:lineRule="auto"/>
        <w:ind w:firstLine="420" w:firstLineChars="200"/>
        <w:rPr>
          <w:rFonts w:ascii="宋体" w:hAnsi="宋体" w:cs="宋体"/>
          <w:szCs w:val="21"/>
        </w:rPr>
      </w:pPr>
      <w:r>
        <w:rPr>
          <w:rFonts w:ascii="宋体" w:hAnsi="宋体"/>
          <w:bCs/>
          <w:szCs w:val="21"/>
        </w:rPr>
        <w:t>1</w:t>
      </w:r>
      <w:r>
        <w:rPr>
          <w:rFonts w:hint="eastAsia" w:ascii="宋体" w:hAnsi="宋体" w:cs="宋体"/>
          <w:szCs w:val="21"/>
        </w:rPr>
        <w:t>.总体维护方案；（格式自拟）</w:t>
      </w:r>
    </w:p>
    <w:p>
      <w:pPr>
        <w:wordWrap w:val="0"/>
        <w:adjustRightInd w:val="0"/>
        <w:snapToGrid w:val="0"/>
        <w:spacing w:line="360" w:lineRule="auto"/>
        <w:ind w:firstLine="420" w:firstLineChars="200"/>
        <w:rPr>
          <w:rFonts w:ascii="宋体" w:hAnsi="宋体" w:cs="宋体"/>
          <w:szCs w:val="21"/>
        </w:rPr>
      </w:pPr>
      <w:r>
        <w:rPr>
          <w:rFonts w:hint="eastAsia" w:ascii="宋体" w:hAnsi="宋体" w:cs="宋体"/>
          <w:szCs w:val="21"/>
        </w:rPr>
        <w:t>2.服务质量承诺及保证措施；（格式自拟）</w:t>
      </w:r>
    </w:p>
    <w:p>
      <w:pPr>
        <w:wordWrap w:val="0"/>
        <w:adjustRightInd w:val="0"/>
        <w:snapToGrid w:val="0"/>
        <w:spacing w:line="360" w:lineRule="auto"/>
        <w:ind w:firstLine="420" w:firstLineChars="200"/>
        <w:rPr>
          <w:rFonts w:ascii="宋体" w:hAnsi="宋体" w:cs="宋体"/>
          <w:szCs w:val="21"/>
        </w:rPr>
      </w:pPr>
      <w:r>
        <w:rPr>
          <w:rFonts w:hint="eastAsia" w:ascii="宋体" w:hAnsi="宋体" w:cs="宋体"/>
          <w:szCs w:val="21"/>
        </w:rPr>
        <w:t>3.维护服务流程；（格式自拟）</w:t>
      </w:r>
    </w:p>
    <w:p>
      <w:pPr>
        <w:wordWrap w:val="0"/>
        <w:adjustRightInd w:val="0"/>
        <w:snapToGrid w:val="0"/>
        <w:spacing w:line="360" w:lineRule="auto"/>
        <w:ind w:firstLine="420" w:firstLineChars="200"/>
        <w:rPr>
          <w:rFonts w:ascii="宋体" w:hAnsi="宋体" w:cs="宋体"/>
          <w:szCs w:val="21"/>
        </w:rPr>
      </w:pPr>
      <w:r>
        <w:rPr>
          <w:rFonts w:hint="eastAsia" w:ascii="宋体" w:hAnsi="宋体" w:cs="宋体"/>
          <w:szCs w:val="21"/>
        </w:rPr>
        <w:t>4.故障应急处理方案；（格式自拟）</w:t>
      </w:r>
    </w:p>
    <w:p>
      <w:pPr>
        <w:wordWrap w:val="0"/>
        <w:adjustRightInd w:val="0"/>
        <w:snapToGrid w:val="0"/>
        <w:spacing w:line="360" w:lineRule="auto"/>
        <w:ind w:firstLine="420" w:firstLineChars="200"/>
        <w:rPr>
          <w:rFonts w:ascii="宋体" w:hAnsi="宋体" w:cs="宋体"/>
          <w:szCs w:val="21"/>
        </w:rPr>
      </w:pPr>
      <w:r>
        <w:rPr>
          <w:rFonts w:hint="eastAsia" w:ascii="宋体" w:hAnsi="宋体" w:cs="宋体"/>
          <w:szCs w:val="21"/>
        </w:rPr>
        <w:t>5.保密承诺及保证措施；（格式自拟）</w:t>
      </w:r>
    </w:p>
    <w:p>
      <w:pPr>
        <w:wordWrap w:val="0"/>
        <w:adjustRightInd w:val="0"/>
        <w:snapToGrid w:val="0"/>
        <w:spacing w:line="360" w:lineRule="auto"/>
        <w:ind w:firstLine="420" w:firstLineChars="200"/>
        <w:rPr>
          <w:rFonts w:ascii="宋体" w:hAnsi="宋体" w:cs="宋体"/>
          <w:szCs w:val="21"/>
        </w:rPr>
      </w:pPr>
      <w:r>
        <w:rPr>
          <w:rFonts w:hint="eastAsia" w:ascii="宋体" w:hAnsi="宋体" w:cs="宋体"/>
          <w:szCs w:val="21"/>
        </w:rPr>
        <w:t>6.违约承诺及惩罚措施；（格式自拟）</w:t>
      </w:r>
    </w:p>
    <w:p>
      <w:pPr>
        <w:wordWrap w:val="0"/>
        <w:adjustRightInd w:val="0"/>
        <w:snapToGrid w:val="0"/>
        <w:spacing w:line="360" w:lineRule="auto"/>
        <w:ind w:firstLine="420" w:firstLineChars="200"/>
        <w:rPr>
          <w:rFonts w:ascii="宋体" w:hAnsi="宋体"/>
          <w:szCs w:val="21"/>
        </w:rPr>
      </w:pPr>
      <w:r>
        <w:rPr>
          <w:rFonts w:hint="eastAsia" w:ascii="宋体" w:hAnsi="宋体" w:cs="宋体"/>
          <w:szCs w:val="21"/>
        </w:rPr>
        <w:t>7.针对本项目供应商认为必要</w:t>
      </w:r>
      <w:r>
        <w:rPr>
          <w:rFonts w:hint="eastAsia"/>
          <w:bCs/>
          <w:szCs w:val="21"/>
        </w:rPr>
        <w:t>提供的其他资料</w:t>
      </w:r>
      <w:r>
        <w:rPr>
          <w:rFonts w:hint="eastAsia" w:ascii="宋体" w:hAnsi="宋体"/>
          <w:bCs/>
          <w:szCs w:val="21"/>
        </w:rPr>
        <w:t>。</w:t>
      </w:r>
      <w:r>
        <w:rPr>
          <w:rFonts w:hint="eastAsia" w:ascii="宋体" w:hAnsi="宋体" w:cs="宋体"/>
          <w:bCs/>
          <w:color w:val="000000"/>
          <w:szCs w:val="21"/>
        </w:rPr>
        <w:t>（格式自拟</w:t>
      </w:r>
      <w:r>
        <w:rPr>
          <w:rFonts w:hint="eastAsia" w:ascii="宋体" w:hAnsi="宋体" w:cs="宋体"/>
          <w:color w:val="000000"/>
          <w:szCs w:val="21"/>
        </w:rPr>
        <w:t>）</w:t>
      </w:r>
    </w:p>
    <w:p>
      <w:pPr>
        <w:adjustRightInd w:val="0"/>
        <w:snapToGrid w:val="0"/>
        <w:spacing w:line="360" w:lineRule="auto"/>
        <w:rPr>
          <w:rFonts w:ascii="宋体" w:hAnsi="宋体" w:cs="宋体"/>
          <w:color w:val="000000"/>
          <w:szCs w:val="21"/>
        </w:rPr>
      </w:pPr>
    </w:p>
    <w:p>
      <w:pPr>
        <w:adjustRightInd w:val="0"/>
        <w:snapToGrid w:val="0"/>
        <w:spacing w:line="360" w:lineRule="auto"/>
        <w:jc w:val="center"/>
        <w:outlineLvl w:val="0"/>
        <w:rPr>
          <w:rStyle w:val="50"/>
        </w:rPr>
      </w:pPr>
      <w:bookmarkStart w:id="685" w:name="_Toc502909076"/>
      <w:bookmarkStart w:id="686" w:name="_Toc34335356"/>
      <w:bookmarkStart w:id="687" w:name="_Toc482092711"/>
      <w:r>
        <w:rPr>
          <w:rFonts w:hint="eastAsia" w:hAnsi="宋体" w:cs="宋体"/>
          <w:color w:val="000000"/>
          <w:sz w:val="30"/>
          <w:szCs w:val="30"/>
        </w:rPr>
        <w:br w:type="page"/>
      </w:r>
      <w:bookmarkEnd w:id="585"/>
      <w:bookmarkEnd w:id="586"/>
      <w:bookmarkEnd w:id="587"/>
      <w:bookmarkEnd w:id="588"/>
      <w:bookmarkEnd w:id="685"/>
      <w:bookmarkEnd w:id="686"/>
      <w:bookmarkEnd w:id="687"/>
      <w:bookmarkStart w:id="688" w:name="_Toc470096338"/>
      <w:bookmarkStart w:id="689" w:name="_Toc13534"/>
      <w:bookmarkStart w:id="690" w:name="_Toc21501"/>
      <w:bookmarkStart w:id="691" w:name="_Toc34335329"/>
      <w:bookmarkStart w:id="692" w:name="_Toc19981"/>
      <w:bookmarkStart w:id="693" w:name="_Toc17451"/>
      <w:bookmarkStart w:id="694" w:name="_Toc86124081"/>
      <w:r>
        <w:rPr>
          <w:rStyle w:val="50"/>
          <w:rFonts w:hint="eastAsia"/>
        </w:rPr>
        <w:t>第五章  采购需求</w:t>
      </w:r>
      <w:bookmarkEnd w:id="688"/>
      <w:bookmarkEnd w:id="689"/>
      <w:bookmarkEnd w:id="690"/>
      <w:bookmarkEnd w:id="691"/>
      <w:bookmarkEnd w:id="692"/>
      <w:bookmarkEnd w:id="693"/>
    </w:p>
    <w:p>
      <w:pPr>
        <w:numPr>
          <w:ilvl w:val="0"/>
          <w:numId w:val="9"/>
        </w:numPr>
        <w:spacing w:line="360" w:lineRule="auto"/>
        <w:rPr>
          <w:b/>
          <w:bCs/>
          <w:sz w:val="24"/>
        </w:rPr>
      </w:pPr>
      <w:r>
        <w:rPr>
          <w:rFonts w:hint="eastAsia"/>
          <w:b/>
          <w:bCs/>
          <w:sz w:val="24"/>
        </w:rPr>
        <w:t>采购内容</w:t>
      </w:r>
    </w:p>
    <w:p>
      <w:pPr>
        <w:adjustRightInd w:val="0"/>
        <w:snapToGrid w:val="0"/>
        <w:spacing w:line="360" w:lineRule="auto"/>
        <w:ind w:firstLine="420" w:firstLineChars="200"/>
      </w:pPr>
      <w:r>
        <w:rPr>
          <w:rFonts w:hint="eastAsia"/>
        </w:rPr>
        <w:t xml:space="preserve">项目名称：云南省生态环境监测中心云南省土壤环境信息化管理平台运维项目 </w:t>
      </w:r>
    </w:p>
    <w:p>
      <w:pPr>
        <w:pStyle w:val="12"/>
        <w:adjustRightInd w:val="0"/>
        <w:snapToGrid w:val="0"/>
        <w:spacing w:beforeLines="0" w:line="360" w:lineRule="auto"/>
        <w:ind w:firstLine="420"/>
      </w:pPr>
      <w:r>
        <w:rPr>
          <w:rFonts w:hint="eastAsia"/>
        </w:rPr>
        <w:t>分包要求：整体成交；不得分包。</w:t>
      </w:r>
    </w:p>
    <w:p>
      <w:pPr>
        <w:adjustRightInd w:val="0"/>
        <w:snapToGrid w:val="0"/>
        <w:spacing w:line="360" w:lineRule="auto"/>
        <w:ind w:firstLine="420" w:firstLineChars="200"/>
      </w:pPr>
      <w:r>
        <w:rPr>
          <w:rFonts w:hint="eastAsia"/>
        </w:rPr>
        <w:t>标段划分：不划分，只设置一个标段。</w:t>
      </w:r>
    </w:p>
    <w:p>
      <w:pPr>
        <w:pStyle w:val="12"/>
        <w:adjustRightInd w:val="0"/>
        <w:snapToGrid w:val="0"/>
        <w:spacing w:beforeLines="0" w:line="360" w:lineRule="auto"/>
        <w:ind w:firstLine="420"/>
      </w:pPr>
      <w:r>
        <w:rPr>
          <w:rFonts w:hint="eastAsia"/>
        </w:rPr>
        <w:t>预算金额：50万元。</w:t>
      </w:r>
    </w:p>
    <w:p>
      <w:pPr>
        <w:numPr>
          <w:ilvl w:val="0"/>
          <w:numId w:val="9"/>
        </w:numPr>
        <w:spacing w:line="360" w:lineRule="auto"/>
        <w:rPr>
          <w:b/>
          <w:bCs/>
          <w:sz w:val="24"/>
        </w:rPr>
      </w:pPr>
      <w:r>
        <w:rPr>
          <w:rFonts w:hint="eastAsia"/>
          <w:b/>
          <w:bCs/>
          <w:sz w:val="24"/>
        </w:rPr>
        <w:t>采购需求</w:t>
      </w:r>
    </w:p>
    <w:tbl>
      <w:tblPr>
        <w:tblStyle w:val="41"/>
        <w:tblW w:w="92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2057"/>
        <w:gridCol w:w="775"/>
        <w:gridCol w:w="1150"/>
        <w:gridCol w:w="276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12"/>
              <w:spacing w:before="120" w:line="360" w:lineRule="auto"/>
              <w:ind w:firstLine="0" w:firstLineChars="0"/>
              <w:jc w:val="center"/>
            </w:pPr>
            <w:r>
              <w:rPr>
                <w:rFonts w:hint="eastAsia"/>
              </w:rPr>
              <w:t>序号</w:t>
            </w:r>
          </w:p>
        </w:tc>
        <w:tc>
          <w:tcPr>
            <w:tcW w:w="2057" w:type="dxa"/>
            <w:vAlign w:val="center"/>
          </w:tcPr>
          <w:p>
            <w:pPr>
              <w:pStyle w:val="12"/>
              <w:spacing w:before="120" w:line="360" w:lineRule="auto"/>
              <w:ind w:firstLine="0" w:firstLineChars="0"/>
              <w:jc w:val="center"/>
            </w:pPr>
            <w:r>
              <w:rPr>
                <w:rFonts w:hint="eastAsia"/>
              </w:rPr>
              <w:t>采购内容</w:t>
            </w:r>
          </w:p>
        </w:tc>
        <w:tc>
          <w:tcPr>
            <w:tcW w:w="775" w:type="dxa"/>
            <w:vAlign w:val="center"/>
          </w:tcPr>
          <w:p>
            <w:pPr>
              <w:pStyle w:val="12"/>
              <w:spacing w:before="120" w:line="360" w:lineRule="auto"/>
              <w:ind w:firstLine="0" w:firstLineChars="0"/>
              <w:jc w:val="center"/>
            </w:pPr>
            <w:r>
              <w:rPr>
                <w:rFonts w:hint="eastAsia"/>
              </w:rPr>
              <w:t>数量</w:t>
            </w:r>
          </w:p>
        </w:tc>
        <w:tc>
          <w:tcPr>
            <w:tcW w:w="1150" w:type="dxa"/>
            <w:vAlign w:val="center"/>
          </w:tcPr>
          <w:p>
            <w:pPr>
              <w:pStyle w:val="12"/>
              <w:spacing w:before="120" w:line="360" w:lineRule="auto"/>
              <w:ind w:firstLine="0" w:firstLineChars="0"/>
              <w:jc w:val="center"/>
            </w:pPr>
            <w:r>
              <w:rPr>
                <w:rFonts w:hint="eastAsia"/>
              </w:rPr>
              <w:t>计量单位</w:t>
            </w:r>
          </w:p>
        </w:tc>
        <w:tc>
          <w:tcPr>
            <w:tcW w:w="2762" w:type="dxa"/>
            <w:vAlign w:val="center"/>
          </w:tcPr>
          <w:p>
            <w:pPr>
              <w:pStyle w:val="12"/>
              <w:spacing w:before="120" w:line="360" w:lineRule="auto"/>
              <w:ind w:firstLine="0" w:firstLineChars="0"/>
              <w:jc w:val="center"/>
            </w:pPr>
            <w:r>
              <w:rPr>
                <w:rFonts w:hint="eastAsia"/>
              </w:rPr>
              <w:t>技术要求</w:t>
            </w:r>
          </w:p>
        </w:tc>
        <w:tc>
          <w:tcPr>
            <w:tcW w:w="1810" w:type="dxa"/>
            <w:vAlign w:val="center"/>
          </w:tcPr>
          <w:p>
            <w:pPr>
              <w:pStyle w:val="12"/>
              <w:spacing w:before="120" w:line="360" w:lineRule="auto"/>
              <w:ind w:firstLine="0" w:firstLineChars="0"/>
              <w:jc w:val="center"/>
            </w:pPr>
            <w:r>
              <w:rPr>
                <w:rFonts w:hint="eastAsia"/>
              </w:rPr>
              <w:t>服务地点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0" w:type="dxa"/>
            <w:vAlign w:val="center"/>
          </w:tcPr>
          <w:p>
            <w:pPr>
              <w:pStyle w:val="12"/>
              <w:spacing w:before="120" w:line="360" w:lineRule="auto"/>
              <w:ind w:firstLine="0" w:firstLineChars="0"/>
              <w:jc w:val="center"/>
            </w:pPr>
            <w:r>
              <w:rPr>
                <w:rFonts w:hint="eastAsia"/>
              </w:rPr>
              <w:t>1</w:t>
            </w:r>
          </w:p>
        </w:tc>
        <w:tc>
          <w:tcPr>
            <w:tcW w:w="2057" w:type="dxa"/>
            <w:vAlign w:val="center"/>
          </w:tcPr>
          <w:p>
            <w:pPr>
              <w:pStyle w:val="12"/>
              <w:spacing w:before="120" w:line="360" w:lineRule="auto"/>
              <w:ind w:firstLine="0" w:firstLineChars="0"/>
              <w:jc w:val="center"/>
            </w:pPr>
            <w:r>
              <w:t>云南省土壤环境信息化管理</w:t>
            </w:r>
            <w:r>
              <w:rPr>
                <w:rFonts w:hint="eastAsia"/>
              </w:rPr>
              <w:t>平台</w:t>
            </w:r>
            <w:r>
              <w:t>运维</w:t>
            </w:r>
          </w:p>
        </w:tc>
        <w:tc>
          <w:tcPr>
            <w:tcW w:w="775" w:type="dxa"/>
            <w:vAlign w:val="center"/>
          </w:tcPr>
          <w:p>
            <w:pPr>
              <w:pStyle w:val="12"/>
              <w:spacing w:before="120" w:line="360" w:lineRule="auto"/>
              <w:ind w:firstLine="0" w:firstLineChars="0"/>
              <w:jc w:val="center"/>
            </w:pPr>
            <w:r>
              <w:rPr>
                <w:rFonts w:hint="eastAsia"/>
              </w:rPr>
              <w:t>1</w:t>
            </w:r>
          </w:p>
        </w:tc>
        <w:tc>
          <w:tcPr>
            <w:tcW w:w="1150" w:type="dxa"/>
            <w:vAlign w:val="center"/>
          </w:tcPr>
          <w:p>
            <w:pPr>
              <w:pStyle w:val="12"/>
              <w:spacing w:before="120" w:line="360" w:lineRule="auto"/>
              <w:ind w:firstLine="0" w:firstLineChars="0"/>
              <w:jc w:val="center"/>
            </w:pPr>
            <w:r>
              <w:rPr>
                <w:rFonts w:hint="eastAsia"/>
              </w:rPr>
              <w:t>项</w:t>
            </w:r>
          </w:p>
        </w:tc>
        <w:tc>
          <w:tcPr>
            <w:tcW w:w="2762" w:type="dxa"/>
            <w:vAlign w:val="center"/>
          </w:tcPr>
          <w:p>
            <w:pPr>
              <w:pStyle w:val="12"/>
              <w:spacing w:before="120" w:line="360" w:lineRule="auto"/>
              <w:ind w:firstLine="0" w:firstLineChars="0"/>
              <w:jc w:val="center"/>
            </w:pPr>
            <w:r>
              <w:rPr>
                <w:rFonts w:hint="eastAsia"/>
              </w:rPr>
              <w:t>1.现有设备及软件系统运维。2.日常管理任务。3.配合开展相关系统维护。</w:t>
            </w:r>
          </w:p>
        </w:tc>
        <w:tc>
          <w:tcPr>
            <w:tcW w:w="1810" w:type="dxa"/>
            <w:vAlign w:val="center"/>
          </w:tcPr>
          <w:p>
            <w:pPr>
              <w:pStyle w:val="12"/>
              <w:spacing w:before="120" w:line="360" w:lineRule="auto"/>
              <w:ind w:firstLine="0" w:firstLineChars="0"/>
              <w:jc w:val="center"/>
            </w:pPr>
            <w:r>
              <w:rPr>
                <w:rFonts w:hint="eastAsia"/>
              </w:rPr>
              <w:t>云南省生态环境监测中心（具体由采购人指定）</w:t>
            </w:r>
          </w:p>
        </w:tc>
      </w:tr>
    </w:tbl>
    <w:p>
      <w:pPr>
        <w:pStyle w:val="12"/>
        <w:adjustRightInd w:val="0"/>
        <w:snapToGrid w:val="0"/>
        <w:spacing w:beforeLines="0" w:line="360" w:lineRule="auto"/>
        <w:ind w:firstLine="420"/>
      </w:pPr>
      <w:r>
        <w:rPr>
          <w:rFonts w:hint="eastAsia"/>
        </w:rPr>
        <w:t>合同履行期限（运维周期）：签订合同之日起至2024年12月31日。</w:t>
      </w:r>
    </w:p>
    <w:p>
      <w:pPr>
        <w:pStyle w:val="12"/>
        <w:adjustRightInd w:val="0"/>
        <w:snapToGrid w:val="0"/>
        <w:spacing w:beforeLines="0" w:line="360" w:lineRule="auto"/>
        <w:ind w:firstLine="420"/>
      </w:pPr>
      <w:r>
        <w:rPr>
          <w:rFonts w:hint="eastAsia"/>
        </w:rPr>
        <w:t>本项目不接受联合体。</w:t>
      </w:r>
    </w:p>
    <w:p>
      <w:pPr>
        <w:pStyle w:val="12"/>
        <w:adjustRightInd w:val="0"/>
        <w:snapToGrid w:val="0"/>
        <w:spacing w:beforeLines="0" w:line="360" w:lineRule="auto"/>
        <w:ind w:firstLine="0" w:firstLineChars="0"/>
        <w:rPr>
          <w:b/>
          <w:bCs/>
          <w:sz w:val="24"/>
          <w:szCs w:val="24"/>
        </w:rPr>
      </w:pPr>
      <w:r>
        <w:rPr>
          <w:rFonts w:hint="eastAsia"/>
          <w:b/>
          <w:bCs/>
          <w:sz w:val="24"/>
          <w:szCs w:val="24"/>
        </w:rPr>
        <w:t>三、服务内容</w:t>
      </w:r>
    </w:p>
    <w:p>
      <w:pPr>
        <w:adjustRightInd w:val="0"/>
        <w:snapToGrid w:val="0"/>
        <w:spacing w:line="360" w:lineRule="auto"/>
        <w:ind w:firstLine="420" w:firstLineChars="200"/>
        <w:rPr>
          <w:rFonts w:ascii="宋体" w:hAnsi="宋体" w:cs="宋体"/>
          <w:szCs w:val="21"/>
        </w:rPr>
      </w:pPr>
      <w:bookmarkStart w:id="695" w:name="_Toc79401941"/>
      <w:r>
        <w:rPr>
          <w:rFonts w:hint="eastAsia" w:ascii="宋体" w:hAnsi="宋体" w:cs="宋体"/>
          <w:szCs w:val="21"/>
        </w:rPr>
        <w:t>1、现有设备及软件系统运维</w:t>
      </w:r>
      <w:bookmarkEnd w:id="695"/>
      <w:bookmarkStart w:id="696" w:name="_Toc19353"/>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对现有设备及软件系统运行维护，现有设备及软件清单详见表1。</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（1）服务器、网络设备及存储系统</w:t>
      </w:r>
      <w:bookmarkStart w:id="697" w:name="_Toc79401940"/>
      <w:r>
        <w:rPr>
          <w:rFonts w:hint="eastAsia" w:ascii="宋体" w:hAnsi="宋体" w:cs="宋体"/>
          <w:szCs w:val="21"/>
        </w:rPr>
        <w:t>维护</w:t>
      </w:r>
      <w:bookmarkEnd w:id="696"/>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bookmarkStart w:id="698" w:name="_Toc4659"/>
      <w:r>
        <w:rPr>
          <w:rFonts w:hint="eastAsia" w:ascii="宋体" w:hAnsi="宋体" w:cs="宋体"/>
          <w:szCs w:val="21"/>
        </w:rPr>
        <w:t>（2）机房空调、UPS设备运维服务</w:t>
      </w:r>
      <w:bookmarkEnd w:id="698"/>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bookmarkStart w:id="699" w:name="_Toc12323"/>
      <w:r>
        <w:rPr>
          <w:rFonts w:hint="eastAsia" w:ascii="宋体" w:hAnsi="宋体" w:cs="宋体"/>
          <w:szCs w:val="21"/>
        </w:rPr>
        <w:t>（3）数据库系统运维服务</w:t>
      </w:r>
      <w:bookmarkEnd w:id="699"/>
      <w:r>
        <w:rPr>
          <w:rFonts w:hint="eastAsia" w:ascii="宋体" w:hAnsi="宋体" w:cs="宋体"/>
          <w:szCs w:val="21"/>
        </w:rPr>
        <w:t>。</w:t>
      </w:r>
    </w:p>
    <w:p>
      <w:pPr>
        <w:adjustRightInd w:val="0"/>
        <w:snapToGrid w:val="0"/>
        <w:spacing w:line="360" w:lineRule="auto"/>
        <w:ind w:firstLine="567"/>
        <w:jc w:val="center"/>
        <w:rPr>
          <w:rFonts w:ascii="宋体" w:hAnsi="宋体" w:cs="宋体"/>
          <w:szCs w:val="21"/>
        </w:rPr>
      </w:pPr>
      <w:r>
        <w:rPr>
          <w:rFonts w:hint="eastAsia" w:ascii="宋体" w:hAnsi="宋体" w:cs="宋体"/>
          <w:szCs w:val="21"/>
        </w:rPr>
        <w:t>表1 现有设备及软件清单</w:t>
      </w:r>
    </w:p>
    <w:tbl>
      <w:tblPr>
        <w:tblStyle w:val="40"/>
        <w:tblW w:w="8720" w:type="dxa"/>
        <w:tblInd w:w="0" w:type="dxa"/>
        <w:tblLayout w:type="autofit"/>
        <w:tblCellMar>
          <w:top w:w="0" w:type="dxa"/>
          <w:left w:w="108" w:type="dxa"/>
          <w:bottom w:w="0" w:type="dxa"/>
          <w:right w:w="108" w:type="dxa"/>
        </w:tblCellMar>
      </w:tblPr>
      <w:tblGrid>
        <w:gridCol w:w="900"/>
        <w:gridCol w:w="1760"/>
        <w:gridCol w:w="2551"/>
        <w:gridCol w:w="1049"/>
        <w:gridCol w:w="2460"/>
      </w:tblGrid>
      <w:tr>
        <w:tblPrEx>
          <w:tblCellMar>
            <w:top w:w="0" w:type="dxa"/>
            <w:left w:w="108" w:type="dxa"/>
            <w:bottom w:w="0" w:type="dxa"/>
            <w:right w:w="108" w:type="dxa"/>
          </w:tblCellMar>
        </w:tblPrEx>
        <w:trPr>
          <w:trHeight w:val="272" w:hRule="atLeast"/>
          <w:tblHeader/>
        </w:trPr>
        <w:tc>
          <w:tcPr>
            <w:tcW w:w="900"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序号</w:t>
            </w:r>
          </w:p>
        </w:tc>
        <w:tc>
          <w:tcPr>
            <w:tcW w:w="1760"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名称</w:t>
            </w:r>
          </w:p>
        </w:tc>
        <w:tc>
          <w:tcPr>
            <w:tcW w:w="2551" w:type="dxa"/>
            <w:tcBorders>
              <w:top w:val="single" w:color="auto" w:sz="4" w:space="0"/>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型号</w:t>
            </w:r>
          </w:p>
        </w:tc>
        <w:tc>
          <w:tcPr>
            <w:tcW w:w="1049" w:type="dxa"/>
            <w:tcBorders>
              <w:top w:val="single" w:color="auto" w:sz="4" w:space="0"/>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数量</w:t>
            </w:r>
          </w:p>
        </w:tc>
        <w:tc>
          <w:tcPr>
            <w:tcW w:w="2460" w:type="dxa"/>
            <w:tcBorders>
              <w:top w:val="single" w:color="auto" w:sz="4" w:space="0"/>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使用状况</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下一代防火墙</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深信服AF-1000-B1180</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核心交换机</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华为S5730-48C-SI</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接入交换机</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TP-LINK TL-SL1226MP</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1760" w:type="dxa"/>
            <w:vMerge w:val="restart"/>
            <w:tcBorders>
              <w:top w:val="nil"/>
              <w:left w:val="nil"/>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服务器</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华为 5288 V5</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1760" w:type="dxa"/>
            <w:vMerge w:val="continue"/>
            <w:tcBorders>
              <w:left w:val="nil"/>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联想 RD350</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1760" w:type="dxa"/>
            <w:vMerge w:val="continue"/>
            <w:tcBorders>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浪潮</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存储服务器</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火星仓 MSA-SSA-A6</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8</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综合监控管理平台一体机</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大华 DH-DSS7016S2-D</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9</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精密空调</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三菱 RFD75WC</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10</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UPS</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山特 3C20KS</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11</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移动触控大屏</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海信 LED55W20D</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12</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办公电脑</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联想 启天M415</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9</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13</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服务器操作系统</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windwos server2012</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14</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服务器操作系统</w:t>
            </w:r>
          </w:p>
        </w:tc>
        <w:tc>
          <w:tcPr>
            <w:tcW w:w="2551" w:type="dxa"/>
            <w:tcBorders>
              <w:top w:val="nil"/>
              <w:left w:val="nil"/>
              <w:bottom w:val="single" w:color="auto" w:sz="4" w:space="0"/>
              <w:right w:val="single" w:color="auto" w:sz="4" w:space="0"/>
            </w:tcBorders>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Centos7.0</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15</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数据库</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333333"/>
                <w:szCs w:val="21"/>
                <w:shd w:val="clear" w:color="auto" w:fill="FFFFFF"/>
              </w:rPr>
              <w:t>Oracle 11g</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r>
        <w:tblPrEx>
          <w:tblCellMar>
            <w:top w:w="0" w:type="dxa"/>
            <w:left w:w="108" w:type="dxa"/>
            <w:bottom w:w="0" w:type="dxa"/>
            <w:right w:w="108" w:type="dxa"/>
          </w:tblCellMar>
        </w:tblPrEx>
        <w:trPr>
          <w:trHeight w:val="270" w:hRule="atLeast"/>
        </w:trPr>
        <w:tc>
          <w:tcPr>
            <w:tcW w:w="900"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16</w:t>
            </w:r>
          </w:p>
        </w:tc>
        <w:tc>
          <w:tcPr>
            <w:tcW w:w="17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数据系统</w:t>
            </w:r>
          </w:p>
        </w:tc>
        <w:tc>
          <w:tcPr>
            <w:tcW w:w="2551" w:type="dxa"/>
            <w:tcBorders>
              <w:top w:val="nil"/>
              <w:left w:val="nil"/>
              <w:bottom w:val="single" w:color="auto" w:sz="4" w:space="0"/>
              <w:right w:val="single" w:color="auto" w:sz="4" w:space="0"/>
            </w:tcBorders>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Hadoop</w:t>
            </w:r>
          </w:p>
        </w:tc>
        <w:tc>
          <w:tcPr>
            <w:tcW w:w="1049" w:type="dxa"/>
            <w:tcBorders>
              <w:top w:val="nil"/>
              <w:left w:val="single" w:color="auto" w:sz="4" w:space="0"/>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2460" w:type="dxa"/>
            <w:tcBorders>
              <w:top w:val="nil"/>
              <w:left w:val="nil"/>
              <w:bottom w:val="single" w:color="auto" w:sz="4" w:space="0"/>
              <w:right w:val="single" w:color="auto" w:sz="4" w:space="0"/>
            </w:tcBorders>
            <w:noWrap/>
            <w:vAlign w:val="center"/>
          </w:tcPr>
          <w:p>
            <w:pPr>
              <w:widowControl/>
              <w:adjustRightInd w:val="0"/>
              <w:snapToGrid w:val="0"/>
              <w:spacing w:line="360" w:lineRule="auto"/>
              <w:jc w:val="center"/>
              <w:rPr>
                <w:rFonts w:ascii="宋体" w:hAnsi="宋体" w:cs="宋体"/>
                <w:color w:val="000000"/>
                <w:kern w:val="0"/>
                <w:szCs w:val="21"/>
              </w:rPr>
            </w:pPr>
            <w:r>
              <w:rPr>
                <w:rFonts w:hint="eastAsia" w:ascii="宋体" w:hAnsi="宋体" w:cs="宋体"/>
                <w:color w:val="000000"/>
                <w:kern w:val="0"/>
                <w:szCs w:val="21"/>
              </w:rPr>
              <w:t>在用</w:t>
            </w:r>
          </w:p>
        </w:tc>
      </w:tr>
    </w:tbl>
    <w:p>
      <w:pPr>
        <w:adjustRightInd w:val="0"/>
        <w:snapToGrid w:val="0"/>
        <w:spacing w:line="360" w:lineRule="auto"/>
        <w:ind w:firstLine="420" w:firstLineChars="200"/>
        <w:rPr>
          <w:rFonts w:ascii="宋体" w:hAnsi="宋体" w:cs="宋体"/>
          <w:szCs w:val="21"/>
        </w:rPr>
      </w:pPr>
      <w:r>
        <w:rPr>
          <w:rFonts w:hint="eastAsia" w:ascii="宋体" w:hAnsi="宋体" w:cs="宋体"/>
          <w:szCs w:val="21"/>
        </w:rPr>
        <w:t>2、日常管理任务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（1）查看/更改应用服务器端口</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（2）管理安全性</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（3）备份文件</w:t>
      </w:r>
    </w:p>
    <w:bookmarkEnd w:id="697"/>
    <w:p>
      <w:pPr>
        <w:adjustRightInd w:val="0"/>
        <w:snapToGrid w:val="0"/>
        <w:spacing w:line="360" w:lineRule="auto"/>
        <w:ind w:firstLine="420" w:firstLineChars="200"/>
        <w:rPr>
          <w:rFonts w:ascii="宋体" w:hAnsi="宋体" w:cs="宋体"/>
          <w:szCs w:val="21"/>
        </w:rPr>
      </w:pPr>
      <w:bookmarkStart w:id="700" w:name="_Toc21080"/>
      <w:r>
        <w:rPr>
          <w:rFonts w:hint="eastAsia" w:ascii="宋体" w:hAnsi="宋体" w:cs="宋体"/>
          <w:szCs w:val="21"/>
        </w:rPr>
        <w:t>3、配合开展相关系统维护</w:t>
      </w:r>
      <w:bookmarkEnd w:id="700"/>
      <w:r>
        <w:rPr>
          <w:rFonts w:hint="eastAsia" w:ascii="宋体" w:hAnsi="宋体" w:cs="宋体"/>
          <w:szCs w:val="21"/>
        </w:rPr>
        <w:t>，保障系统安全稳定运行</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（1）全国建设用地土壤环境管理信息系统维护</w:t>
      </w:r>
    </w:p>
    <w:p>
      <w:pPr>
        <w:adjustRightInd w:val="0"/>
        <w:snapToGrid w:val="0"/>
        <w:spacing w:line="360" w:lineRule="auto"/>
        <w:ind w:firstLine="420" w:firstLineChars="200"/>
        <w:rPr>
          <w:rFonts w:ascii="宋体" w:hAnsi="宋体" w:cs="宋体"/>
          <w:szCs w:val="21"/>
        </w:rPr>
      </w:pPr>
      <w:bookmarkStart w:id="701" w:name="_Toc28370"/>
      <w:r>
        <w:rPr>
          <w:rFonts w:hint="eastAsia" w:ascii="宋体" w:hAnsi="宋体" w:cs="宋体"/>
          <w:szCs w:val="21"/>
        </w:rPr>
        <w:t>（2）云南省土壤及地下水环境信息平台维护</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（3）云南省地下水基础环境状况调查信息系统维护</w:t>
      </w:r>
    </w:p>
    <w:bookmarkEnd w:id="701"/>
    <w:p>
      <w:pPr>
        <w:pStyle w:val="4"/>
        <w:adjustRightInd w:val="0"/>
        <w:snapToGrid w:val="0"/>
        <w:spacing w:before="0" w:after="0"/>
        <w:jc w:val="left"/>
      </w:pPr>
      <w:r>
        <w:rPr>
          <w:rFonts w:hint="eastAsia"/>
        </w:rPr>
        <w:t>四、服务要求</w:t>
      </w:r>
    </w:p>
    <w:p>
      <w:pPr>
        <w:adjustRightInd w:val="0"/>
        <w:snapToGrid w:val="0"/>
        <w:spacing w:line="360" w:lineRule="auto"/>
        <w:ind w:firstLine="420" w:firstLineChars="200"/>
        <w:rPr>
          <w:rFonts w:ascii="宋体" w:hAnsi="宋体" w:cs="宋体"/>
        </w:rPr>
      </w:pPr>
      <w:r>
        <w:rPr>
          <w:rFonts w:hint="eastAsia" w:ascii="宋体" w:hAnsi="宋体" w:cs="宋体"/>
        </w:rPr>
        <w:t>1、现场值守服务维护团队需要指派3名服务技术服务工程师在合同期进行现场工作，按甲方要求开展工作。负责对现场设备运行状态进行监视、管理和维护以及工作终端的管理和维护，通过对系统运行日志的分析提前发现并排除可能发生的潜在故障，并在全部维护服务团队支持下，在1小时内排除普通故障，2小时内排除较大故障，4小时内排除重大故障，24小时内排除特大故障；</w:t>
      </w:r>
    </w:p>
    <w:p>
      <w:pPr>
        <w:adjustRightInd w:val="0"/>
        <w:snapToGrid w:val="0"/>
        <w:spacing w:line="360" w:lineRule="auto"/>
        <w:ind w:firstLine="420" w:firstLineChars="200"/>
        <w:rPr>
          <w:rFonts w:ascii="宋体" w:hAnsi="宋体" w:cs="宋体"/>
        </w:rPr>
      </w:pPr>
      <w:r>
        <w:rPr>
          <w:rFonts w:hint="eastAsia" w:ascii="宋体" w:hAnsi="宋体" w:cs="宋体"/>
        </w:rPr>
        <w:t>2、除了现场值守服务方式外，同时，提供7×24小时故障响应服务具体包括：</w:t>
      </w:r>
    </w:p>
    <w:p>
      <w:pPr>
        <w:adjustRightInd w:val="0"/>
        <w:snapToGrid w:val="0"/>
        <w:spacing w:line="360" w:lineRule="auto"/>
        <w:ind w:firstLine="420" w:firstLineChars="200"/>
        <w:rPr>
          <w:rFonts w:ascii="宋体" w:hAnsi="宋体" w:cs="宋体"/>
        </w:rPr>
      </w:pPr>
      <w:r>
        <w:rPr>
          <w:rFonts w:hint="eastAsia" w:ascii="宋体" w:hAnsi="宋体" w:cs="宋体"/>
        </w:rPr>
        <w:t>维护期内提供电话、传真、电子邮件等方式的咨询和支持服务。</w:t>
      </w:r>
    </w:p>
    <w:p>
      <w:pPr>
        <w:adjustRightInd w:val="0"/>
        <w:snapToGrid w:val="0"/>
        <w:spacing w:line="360" w:lineRule="auto"/>
        <w:ind w:firstLine="420" w:firstLineChars="200"/>
        <w:rPr>
          <w:rFonts w:ascii="宋体" w:hAnsi="宋体" w:cs="宋体"/>
        </w:rPr>
      </w:pPr>
      <w:r>
        <w:rPr>
          <w:rFonts w:hint="eastAsia" w:ascii="宋体" w:hAnsi="宋体" w:cs="宋体"/>
        </w:rPr>
        <w:t>主要系统设备出现故障时，15分钟内响应，当现场维护工程师或节假日值班维护工程师无法排除故障时，1小时内派专业工程师赶赴现场进行故障诊断及处理，在1小时内排除普通故障，2小时内排除较大故障，4小时内排除重大故障，24小时内排除特大故障。</w:t>
      </w:r>
    </w:p>
    <w:p>
      <w:pPr>
        <w:adjustRightInd w:val="0"/>
        <w:snapToGrid w:val="0"/>
        <w:spacing w:line="360" w:lineRule="auto"/>
        <w:ind w:firstLine="420" w:firstLineChars="200"/>
        <w:rPr>
          <w:rFonts w:ascii="宋体" w:hAnsi="宋体" w:cs="宋体"/>
        </w:rPr>
      </w:pPr>
      <w:r>
        <w:rPr>
          <w:rFonts w:hint="eastAsia" w:ascii="宋体" w:hAnsi="宋体" w:cs="宋体"/>
        </w:rPr>
        <w:t>一般故障，正常工作日内响应。</w:t>
      </w:r>
    </w:p>
    <w:p>
      <w:pPr>
        <w:adjustRightInd w:val="0"/>
        <w:snapToGrid w:val="0"/>
        <w:spacing w:line="360" w:lineRule="auto"/>
        <w:ind w:firstLine="420" w:firstLineChars="200"/>
        <w:rPr>
          <w:rFonts w:ascii="宋体" w:hAnsi="宋体" w:cs="宋体"/>
        </w:rPr>
      </w:pPr>
      <w:r>
        <w:rPr>
          <w:rFonts w:hint="eastAsia" w:ascii="宋体" w:hAnsi="宋体" w:cs="宋体"/>
        </w:rPr>
        <w:t>3、当系统在非工作日出现异常时，维护团队现场人员将在1小时内赶赴现场并排除系统普通故障，特大故障将在24小时内处理完毕。</w:t>
      </w:r>
    </w:p>
    <w:p>
      <w:pPr>
        <w:adjustRightInd w:val="0"/>
        <w:snapToGrid w:val="0"/>
        <w:spacing w:line="360" w:lineRule="auto"/>
        <w:ind w:firstLine="420" w:firstLineChars="200"/>
        <w:rPr>
          <w:rFonts w:ascii="宋体" w:hAnsi="宋体" w:cs="宋体"/>
        </w:rPr>
      </w:pPr>
      <w:r>
        <w:rPr>
          <w:rFonts w:hint="eastAsia" w:ascii="宋体" w:hAnsi="宋体" w:cs="宋体"/>
        </w:rPr>
        <w:t>具体联系方式包括：通过维护团队提供的7×24小时响应服务热线；现场维护人员通过移动通信网络（当运维管理系统具备短信故障报警通知功能时）接收到系统报警信息；或维护人员接到服务请求电话时；</w:t>
      </w:r>
    </w:p>
    <w:p>
      <w:pPr>
        <w:adjustRightInd w:val="0"/>
        <w:snapToGrid w:val="0"/>
        <w:spacing w:line="360" w:lineRule="auto"/>
        <w:ind w:firstLine="420" w:firstLineChars="200"/>
        <w:rPr>
          <w:rFonts w:ascii="宋体" w:hAnsi="宋体" w:cs="宋体"/>
        </w:rPr>
      </w:pPr>
      <w:r>
        <w:rPr>
          <w:rFonts w:hint="eastAsia" w:ascii="宋体" w:hAnsi="宋体" w:cs="宋体"/>
        </w:rPr>
        <w:t>4、当遇到重大活动需要提供临时保障服务时，维护团队须在需要保障服务的前三天到达现场，并对所有设备进行临时性安全检查，排除安全隐患，以做到万无一失；</w:t>
      </w:r>
    </w:p>
    <w:p>
      <w:pPr>
        <w:adjustRightInd w:val="0"/>
        <w:snapToGrid w:val="0"/>
        <w:spacing w:line="360" w:lineRule="auto"/>
        <w:ind w:firstLine="420" w:firstLineChars="200"/>
        <w:rPr>
          <w:rFonts w:eastAsia="仿宋"/>
        </w:rPr>
      </w:pPr>
      <w:r>
        <w:rPr>
          <w:rFonts w:hint="eastAsia" w:ascii="宋体" w:hAnsi="宋体" w:cs="宋体"/>
        </w:rPr>
        <w:t>5、每月对各系统及设备进行检查，进行安全系统、防病毒系统检查，进行漏洞扫描，并对检查中存在的故障及安全隐患进行处理。每月第一周向用户单位提交上月的《月度巡检报告》，报请用户单位审批签署；每季度对由维护团队的专业维护队伍对所有设备进行安全评估和风险分析，提交完整的安全状况评估报告，分析存在的安全漏洞情况；每年由维护团队组织相关的专家（含硬件和软件）对整个系统进行安全检查，对每个硬件设备及软件系统使用状态进行风险评估。</w:t>
      </w:r>
    </w:p>
    <w:p/>
    <w:p>
      <w:pPr>
        <w:widowControl/>
        <w:adjustRightInd w:val="0"/>
        <w:snapToGrid w:val="0"/>
        <w:spacing w:line="360" w:lineRule="auto"/>
        <w:rPr>
          <w:szCs w:val="21"/>
          <w:lang w:bidi="ar"/>
        </w:rPr>
      </w:pPr>
    </w:p>
    <w:p>
      <w:pPr>
        <w:widowControl/>
        <w:adjustRightInd w:val="0"/>
        <w:snapToGrid w:val="0"/>
        <w:spacing w:line="360" w:lineRule="auto"/>
        <w:ind w:firstLine="482"/>
        <w:rPr>
          <w:szCs w:val="21"/>
          <w:lang w:bidi="ar"/>
        </w:rPr>
      </w:pPr>
      <w:r>
        <w:rPr>
          <w:rFonts w:hint="eastAsia"/>
          <w:b/>
          <w:bCs/>
          <w:sz w:val="24"/>
          <w:lang w:bidi="ar"/>
        </w:rPr>
        <w:br w:type="page"/>
      </w:r>
      <w:r>
        <w:rPr>
          <w:rFonts w:hint="eastAsia"/>
          <w:b/>
          <w:bCs/>
          <w:sz w:val="24"/>
          <w:lang w:bidi="ar"/>
        </w:rPr>
        <w:t xml:space="preserve"> </w:t>
      </w:r>
    </w:p>
    <w:bookmarkEnd w:id="694"/>
    <w:p>
      <w:pPr>
        <w:pStyle w:val="3"/>
        <w:snapToGrid w:val="0"/>
        <w:spacing w:line="360" w:lineRule="auto"/>
        <w:jc w:val="center"/>
      </w:pPr>
      <w:bookmarkStart w:id="702" w:name="_Toc10787"/>
      <w:bookmarkStart w:id="703" w:name="_Toc11623"/>
      <w:bookmarkStart w:id="704" w:name="_Toc12138"/>
      <w:bookmarkStart w:id="705" w:name="_Toc5628"/>
      <w:bookmarkStart w:id="706" w:name="_Toc906"/>
      <w:r>
        <w:rPr>
          <w:rFonts w:hint="eastAsia"/>
        </w:rPr>
        <w:t>第六章 磋商程序和方法</w:t>
      </w:r>
      <w:bookmarkEnd w:id="508"/>
      <w:bookmarkEnd w:id="509"/>
      <w:bookmarkEnd w:id="510"/>
      <w:bookmarkEnd w:id="511"/>
      <w:bookmarkEnd w:id="702"/>
      <w:bookmarkEnd w:id="703"/>
      <w:bookmarkEnd w:id="704"/>
      <w:bookmarkEnd w:id="705"/>
      <w:bookmarkEnd w:id="706"/>
    </w:p>
    <w:p>
      <w:pPr>
        <w:adjustRightInd w:val="0"/>
        <w:snapToGrid w:val="0"/>
        <w:spacing w:line="360" w:lineRule="auto"/>
        <w:jc w:val="center"/>
        <w:outlineLvl w:val="1"/>
        <w:rPr>
          <w:rFonts w:ascii="宋体" w:hAnsi="宋体" w:cs="宋体"/>
          <w:b/>
          <w:color w:val="000000"/>
          <w:sz w:val="24"/>
        </w:rPr>
      </w:pPr>
      <w:bookmarkStart w:id="707" w:name="_Toc34335311"/>
      <w:bookmarkStart w:id="708" w:name="_Toc18115"/>
      <w:bookmarkStart w:id="709" w:name="_Toc14151"/>
      <w:bookmarkStart w:id="710" w:name="_Toc16385"/>
      <w:bookmarkStart w:id="711" w:name="_Toc432106529"/>
      <w:bookmarkStart w:id="712" w:name="_Toc86124093"/>
      <w:bookmarkStart w:id="713" w:name="_Toc12909"/>
      <w:bookmarkStart w:id="714" w:name="_Toc470096339"/>
      <w:bookmarkStart w:id="715" w:name="_Toc191374457"/>
      <w:bookmarkStart w:id="716" w:name="_Toc28326"/>
      <w:r>
        <w:rPr>
          <w:rFonts w:hint="eastAsia" w:ascii="宋体" w:hAnsi="宋体" w:cs="宋体"/>
          <w:b/>
          <w:color w:val="000000"/>
          <w:sz w:val="24"/>
        </w:rPr>
        <w:t>磋商方法前附表</w:t>
      </w:r>
      <w:bookmarkEnd w:id="707"/>
      <w:bookmarkEnd w:id="708"/>
      <w:bookmarkEnd w:id="709"/>
      <w:bookmarkEnd w:id="710"/>
      <w:bookmarkEnd w:id="711"/>
      <w:bookmarkEnd w:id="712"/>
      <w:bookmarkEnd w:id="713"/>
      <w:bookmarkEnd w:id="714"/>
      <w:bookmarkEnd w:id="715"/>
      <w:bookmarkEnd w:id="716"/>
    </w:p>
    <w:tbl>
      <w:tblPr>
        <w:tblStyle w:val="40"/>
        <w:tblW w:w="9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110"/>
        <w:gridCol w:w="1736"/>
        <w:gridCol w:w="5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74" w:type="dxa"/>
            <w:gridSpan w:val="2"/>
            <w:vAlign w:val="center"/>
          </w:tcPr>
          <w:p>
            <w:pPr>
              <w:adjustRightInd w:val="0"/>
              <w:snapToGrid w:val="0"/>
              <w:spacing w:line="360" w:lineRule="auto"/>
              <w:jc w:val="center"/>
              <w:rPr>
                <w:rFonts w:ascii="宋体" w:hAnsi="宋体" w:cs="宋体"/>
                <w:b/>
                <w:color w:val="000000"/>
                <w:szCs w:val="21"/>
              </w:rPr>
            </w:pPr>
            <w:bookmarkStart w:id="717" w:name="_Toc34335312"/>
            <w:r>
              <w:rPr>
                <w:rFonts w:hint="eastAsia" w:ascii="宋体" w:hAnsi="宋体" w:cs="宋体"/>
                <w:b/>
                <w:color w:val="000000"/>
                <w:szCs w:val="21"/>
              </w:rPr>
              <w:t>条款号</w:t>
            </w:r>
          </w:p>
        </w:tc>
        <w:tc>
          <w:tcPr>
            <w:tcW w:w="1736" w:type="dxa"/>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评 审 内 容</w:t>
            </w:r>
          </w:p>
        </w:tc>
        <w:tc>
          <w:tcPr>
            <w:tcW w:w="5957" w:type="dxa"/>
            <w:vAlign w:val="center"/>
          </w:tcPr>
          <w:p>
            <w:pPr>
              <w:adjustRightInd w:val="0"/>
              <w:snapToGrid w:val="0"/>
              <w:spacing w:line="360" w:lineRule="auto"/>
              <w:jc w:val="center"/>
              <w:rPr>
                <w:rFonts w:ascii="宋体" w:hAnsi="宋体" w:cs="宋体"/>
                <w:b/>
                <w:color w:val="000000"/>
                <w:szCs w:val="21"/>
              </w:rPr>
            </w:pPr>
            <w:r>
              <w:rPr>
                <w:rFonts w:hint="eastAsia" w:ascii="宋体" w:hAnsi="宋体" w:cs="宋体"/>
                <w:b/>
                <w:color w:val="000000"/>
                <w:szCs w:val="21"/>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1.1</w:t>
            </w:r>
          </w:p>
        </w:tc>
        <w:tc>
          <w:tcPr>
            <w:tcW w:w="1110"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资格评审标准</w:t>
            </w:r>
          </w:p>
        </w:tc>
        <w:tc>
          <w:tcPr>
            <w:tcW w:w="1736"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资格条件</w:t>
            </w:r>
          </w:p>
        </w:tc>
        <w:tc>
          <w:tcPr>
            <w:tcW w:w="5957"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符合第二章《供应商须知》第4项规定，且提供了磋商文件要求提供的证明材料。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restart"/>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1.2</w:t>
            </w:r>
          </w:p>
        </w:tc>
        <w:tc>
          <w:tcPr>
            <w:tcW w:w="1110" w:type="dxa"/>
            <w:vMerge w:val="restart"/>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符合性评审标准</w:t>
            </w:r>
          </w:p>
        </w:tc>
        <w:tc>
          <w:tcPr>
            <w:tcW w:w="1736"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报价一览表及磋商申请函</w:t>
            </w:r>
          </w:p>
        </w:tc>
        <w:tc>
          <w:tcPr>
            <w:tcW w:w="5957"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按要求签字、盖公章；</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符合第四章《响应文件格式》中规定的格式及内容。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vAlign w:val="center"/>
          </w:tcPr>
          <w:p>
            <w:pPr>
              <w:adjustRightInd w:val="0"/>
              <w:snapToGrid w:val="0"/>
              <w:spacing w:line="360" w:lineRule="auto"/>
              <w:jc w:val="center"/>
              <w:rPr>
                <w:rFonts w:ascii="宋体" w:hAnsi="宋体" w:cs="宋体"/>
                <w:color w:val="000000"/>
                <w:szCs w:val="21"/>
              </w:rPr>
            </w:pPr>
          </w:p>
        </w:tc>
        <w:tc>
          <w:tcPr>
            <w:tcW w:w="1110" w:type="dxa"/>
            <w:vMerge w:val="continue"/>
            <w:vAlign w:val="center"/>
          </w:tcPr>
          <w:p>
            <w:pPr>
              <w:adjustRightInd w:val="0"/>
              <w:snapToGrid w:val="0"/>
              <w:spacing w:line="360" w:lineRule="auto"/>
              <w:jc w:val="center"/>
              <w:rPr>
                <w:rFonts w:ascii="宋体" w:hAnsi="宋体" w:cs="宋体"/>
                <w:color w:val="000000"/>
                <w:szCs w:val="21"/>
              </w:rPr>
            </w:pPr>
          </w:p>
        </w:tc>
        <w:tc>
          <w:tcPr>
            <w:tcW w:w="1736"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法定代表人身份证明书</w:t>
            </w:r>
          </w:p>
        </w:tc>
        <w:tc>
          <w:tcPr>
            <w:tcW w:w="5957"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符合磋商文件规定的格式及内容，并盖公章；响应文件正本中法定代表人身份证明书为原件。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vAlign w:val="center"/>
          </w:tcPr>
          <w:p>
            <w:pPr>
              <w:adjustRightInd w:val="0"/>
              <w:snapToGrid w:val="0"/>
              <w:spacing w:line="360" w:lineRule="auto"/>
              <w:jc w:val="center"/>
              <w:rPr>
                <w:rFonts w:ascii="宋体" w:hAnsi="宋体" w:cs="宋体"/>
                <w:color w:val="000000"/>
                <w:szCs w:val="21"/>
              </w:rPr>
            </w:pPr>
          </w:p>
        </w:tc>
        <w:tc>
          <w:tcPr>
            <w:tcW w:w="1110" w:type="dxa"/>
            <w:vMerge w:val="continue"/>
            <w:vAlign w:val="center"/>
          </w:tcPr>
          <w:p>
            <w:pPr>
              <w:adjustRightInd w:val="0"/>
              <w:snapToGrid w:val="0"/>
              <w:spacing w:line="360" w:lineRule="auto"/>
              <w:jc w:val="center"/>
              <w:rPr>
                <w:rFonts w:ascii="宋体" w:hAnsi="宋体" w:cs="宋体"/>
                <w:color w:val="000000"/>
                <w:szCs w:val="21"/>
              </w:rPr>
            </w:pPr>
          </w:p>
        </w:tc>
        <w:tc>
          <w:tcPr>
            <w:tcW w:w="1736"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法定代表人授权委托书</w:t>
            </w:r>
          </w:p>
        </w:tc>
        <w:tc>
          <w:tcPr>
            <w:tcW w:w="5957"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有法定代表人电子签章或盖章，并盖公章；符合磋商文件规定的格式及内容；响应文件正本中法定代表人授权委托书为原件。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vAlign w:val="center"/>
          </w:tcPr>
          <w:p>
            <w:pPr>
              <w:adjustRightInd w:val="0"/>
              <w:snapToGrid w:val="0"/>
              <w:spacing w:line="360" w:lineRule="auto"/>
              <w:jc w:val="center"/>
              <w:rPr>
                <w:rFonts w:ascii="宋体" w:hAnsi="宋体" w:cs="宋体"/>
                <w:color w:val="000000"/>
                <w:szCs w:val="21"/>
              </w:rPr>
            </w:pPr>
          </w:p>
        </w:tc>
        <w:tc>
          <w:tcPr>
            <w:tcW w:w="1110" w:type="dxa"/>
            <w:vMerge w:val="continue"/>
            <w:vAlign w:val="center"/>
          </w:tcPr>
          <w:p>
            <w:pPr>
              <w:adjustRightInd w:val="0"/>
              <w:snapToGrid w:val="0"/>
              <w:spacing w:line="360" w:lineRule="auto"/>
              <w:jc w:val="center"/>
              <w:rPr>
                <w:rFonts w:ascii="宋体" w:hAnsi="宋体" w:cs="宋体"/>
                <w:color w:val="000000"/>
                <w:szCs w:val="21"/>
              </w:rPr>
            </w:pPr>
          </w:p>
        </w:tc>
        <w:tc>
          <w:tcPr>
            <w:tcW w:w="1736"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报价</w:t>
            </w:r>
          </w:p>
        </w:tc>
        <w:tc>
          <w:tcPr>
            <w:tcW w:w="5957" w:type="dxa"/>
            <w:vAlign w:val="center"/>
          </w:tcPr>
          <w:p>
            <w:pPr>
              <w:adjustRightInd w:val="0"/>
              <w:snapToGrid w:val="0"/>
              <w:spacing w:line="360" w:lineRule="auto"/>
              <w:jc w:val="left"/>
              <w:rPr>
                <w:rFonts w:ascii="宋体" w:hAnsi="宋体" w:cs="宋体"/>
                <w:color w:val="000000"/>
                <w:szCs w:val="21"/>
              </w:rPr>
            </w:pPr>
            <w:r>
              <w:rPr>
                <w:rFonts w:hint="eastAsia" w:ascii="宋体" w:hAnsi="宋体" w:cs="宋体"/>
                <w:color w:val="000000"/>
                <w:szCs w:val="21"/>
              </w:rPr>
              <w:t>按竞争性磋商文件要求报价、且未超过最高限价。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64" w:type="dxa"/>
            <w:vMerge w:val="continue"/>
            <w:vAlign w:val="center"/>
          </w:tcPr>
          <w:p>
            <w:pPr>
              <w:adjustRightInd w:val="0"/>
              <w:snapToGrid w:val="0"/>
              <w:spacing w:line="360" w:lineRule="auto"/>
              <w:rPr>
                <w:rFonts w:ascii="宋体" w:hAnsi="宋体" w:cs="宋体"/>
                <w:color w:val="000000"/>
                <w:szCs w:val="21"/>
              </w:rPr>
            </w:pPr>
          </w:p>
        </w:tc>
        <w:tc>
          <w:tcPr>
            <w:tcW w:w="1110" w:type="dxa"/>
            <w:vMerge w:val="continue"/>
            <w:vAlign w:val="center"/>
          </w:tcPr>
          <w:p>
            <w:pPr>
              <w:adjustRightInd w:val="0"/>
              <w:snapToGrid w:val="0"/>
              <w:spacing w:line="360" w:lineRule="auto"/>
              <w:rPr>
                <w:rFonts w:ascii="宋体" w:hAnsi="宋体" w:cs="宋体"/>
                <w:color w:val="000000"/>
                <w:szCs w:val="21"/>
              </w:rPr>
            </w:pPr>
          </w:p>
        </w:tc>
        <w:tc>
          <w:tcPr>
            <w:tcW w:w="1736"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响应文件有效期</w:t>
            </w:r>
          </w:p>
        </w:tc>
        <w:tc>
          <w:tcPr>
            <w:tcW w:w="5957"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符合第二章《供应商须知》第11.1项规定。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vAlign w:val="center"/>
          </w:tcPr>
          <w:p>
            <w:pPr>
              <w:adjustRightInd w:val="0"/>
              <w:snapToGrid w:val="0"/>
              <w:spacing w:line="360" w:lineRule="auto"/>
              <w:rPr>
                <w:rFonts w:ascii="宋体" w:hAnsi="宋体" w:cs="宋体"/>
                <w:color w:val="000000"/>
                <w:szCs w:val="21"/>
              </w:rPr>
            </w:pPr>
          </w:p>
        </w:tc>
        <w:tc>
          <w:tcPr>
            <w:tcW w:w="1110" w:type="dxa"/>
            <w:vMerge w:val="continue"/>
            <w:vAlign w:val="center"/>
          </w:tcPr>
          <w:p>
            <w:pPr>
              <w:adjustRightInd w:val="0"/>
              <w:snapToGrid w:val="0"/>
              <w:spacing w:line="360" w:lineRule="auto"/>
              <w:rPr>
                <w:rFonts w:ascii="宋体" w:hAnsi="宋体" w:cs="宋体"/>
                <w:color w:val="000000"/>
                <w:szCs w:val="21"/>
              </w:rPr>
            </w:pPr>
          </w:p>
        </w:tc>
        <w:tc>
          <w:tcPr>
            <w:tcW w:w="1736"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其他实质性条件</w:t>
            </w:r>
          </w:p>
        </w:tc>
        <w:tc>
          <w:tcPr>
            <w:tcW w:w="5957"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1）实质性响应磋商文件条款内容；</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2）要求签字、盖章的地方按磋商文件要求签字、盖章；</w:t>
            </w:r>
          </w:p>
          <w:p>
            <w:pPr>
              <w:adjustRightInd w:val="0"/>
              <w:snapToGrid w:val="0"/>
              <w:spacing w:line="360" w:lineRule="auto"/>
              <w:rPr>
                <w:rFonts w:ascii="宋体" w:hAnsi="宋体" w:cs="宋体"/>
                <w:color w:val="000000"/>
                <w:szCs w:val="21"/>
              </w:rPr>
            </w:pPr>
            <w:r>
              <w:rPr>
                <w:rFonts w:ascii="宋体" w:hAnsi="宋体" w:cs="宋体"/>
                <w:color w:val="000000"/>
                <w:szCs w:val="21"/>
              </w:rPr>
              <w:t>3</w:t>
            </w:r>
            <w:r>
              <w:rPr>
                <w:rFonts w:hint="eastAsia" w:ascii="宋体" w:hAnsi="宋体" w:cs="宋体"/>
                <w:color w:val="000000"/>
                <w:szCs w:val="21"/>
              </w:rPr>
              <w:t xml:space="preserve">）法律、法规和磋商文件明确规定的其他无效情形。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restart"/>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2.1</w:t>
            </w:r>
          </w:p>
        </w:tc>
        <w:tc>
          <w:tcPr>
            <w:tcW w:w="1110" w:type="dxa"/>
            <w:vMerge w:val="restart"/>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分值构成与评分标准</w:t>
            </w:r>
          </w:p>
        </w:tc>
        <w:tc>
          <w:tcPr>
            <w:tcW w:w="1736" w:type="dxa"/>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（1）评审总得分计算公式</w:t>
            </w:r>
          </w:p>
        </w:tc>
        <w:tc>
          <w:tcPr>
            <w:tcW w:w="5957" w:type="dxa"/>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供应商的评审总得分＝F1＋F2＋F3</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其中：</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F1、F2、F3分别为报价部分、商务部分、技术部分3项评分因素的汇总得分；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vAlign w:val="center"/>
          </w:tcPr>
          <w:p>
            <w:pPr>
              <w:adjustRightInd w:val="0"/>
              <w:snapToGrid w:val="0"/>
              <w:spacing w:line="360" w:lineRule="auto"/>
              <w:rPr>
                <w:rFonts w:ascii="宋体" w:hAnsi="宋体" w:cs="宋体"/>
                <w:color w:val="000000"/>
                <w:szCs w:val="21"/>
              </w:rPr>
            </w:pPr>
          </w:p>
        </w:tc>
        <w:tc>
          <w:tcPr>
            <w:tcW w:w="1110" w:type="dxa"/>
            <w:vMerge w:val="continue"/>
            <w:vAlign w:val="center"/>
          </w:tcPr>
          <w:p>
            <w:pPr>
              <w:adjustRightInd w:val="0"/>
              <w:snapToGrid w:val="0"/>
              <w:spacing w:line="360" w:lineRule="auto"/>
              <w:rPr>
                <w:rFonts w:ascii="宋体" w:hAnsi="宋体" w:cs="宋体"/>
                <w:color w:val="000000"/>
                <w:szCs w:val="21"/>
              </w:rPr>
            </w:pPr>
          </w:p>
        </w:tc>
        <w:tc>
          <w:tcPr>
            <w:tcW w:w="1736" w:type="dxa"/>
            <w:tcBorders>
              <w:bottom w:val="single" w:color="auto" w:sz="4" w:space="0"/>
            </w:tcBorders>
            <w:vAlign w:val="center"/>
          </w:tcPr>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（2）评分因素权重</w:t>
            </w:r>
          </w:p>
        </w:tc>
        <w:tc>
          <w:tcPr>
            <w:tcW w:w="5957" w:type="dxa"/>
            <w:tcBorders>
              <w:bottom w:val="single" w:color="auto" w:sz="4" w:space="0"/>
            </w:tcBorders>
            <w:vAlign w:val="center"/>
          </w:tcPr>
          <w:p>
            <w:pPr>
              <w:adjustRightInd w:val="0"/>
              <w:snapToGrid w:val="0"/>
              <w:spacing w:line="360" w:lineRule="auto"/>
              <w:rPr>
                <w:rFonts w:ascii="宋体" w:hAnsi="宋体" w:cs="宋体"/>
                <w:color w:val="000000"/>
                <w:szCs w:val="21"/>
              </w:rPr>
            </w:pPr>
            <w:r>
              <w:rPr>
                <w:rFonts w:hint="eastAsia" w:ascii="宋体" w:hAnsi="宋体" w:cs="宋体"/>
                <w:color w:val="000000"/>
                <w:szCs w:val="21"/>
              </w:rPr>
              <w:t>报价部分F1：10分</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商务部分F2：</w:t>
            </w:r>
            <w:r>
              <w:rPr>
                <w:rFonts w:ascii="宋体" w:hAnsi="宋体" w:cs="宋体"/>
                <w:color w:val="000000"/>
                <w:szCs w:val="21"/>
              </w:rPr>
              <w:t>20</w:t>
            </w:r>
            <w:r>
              <w:rPr>
                <w:rFonts w:hint="eastAsia" w:ascii="宋体" w:hAnsi="宋体" w:cs="宋体"/>
                <w:color w:val="000000"/>
                <w:szCs w:val="21"/>
              </w:rPr>
              <w:t>分</w:t>
            </w:r>
          </w:p>
          <w:p>
            <w:pPr>
              <w:adjustRightInd w:val="0"/>
              <w:snapToGrid w:val="0"/>
              <w:spacing w:line="360" w:lineRule="auto"/>
              <w:rPr>
                <w:rFonts w:ascii="宋体" w:hAnsi="宋体" w:cs="宋体"/>
                <w:color w:val="000000"/>
                <w:szCs w:val="21"/>
              </w:rPr>
            </w:pPr>
            <w:r>
              <w:rPr>
                <w:rFonts w:hint="eastAsia" w:ascii="宋体" w:hAnsi="宋体" w:cs="宋体"/>
                <w:color w:val="000000"/>
                <w:szCs w:val="21"/>
              </w:rPr>
              <w:t>技术部分F3：7</w:t>
            </w:r>
            <w:r>
              <w:rPr>
                <w:rFonts w:ascii="宋体" w:hAnsi="宋体" w:cs="宋体"/>
                <w:color w:val="000000"/>
                <w:szCs w:val="21"/>
              </w:rPr>
              <w:t>0</w:t>
            </w:r>
            <w:r>
              <w:rPr>
                <w:rFonts w:hint="eastAsia" w:ascii="宋体" w:hAnsi="宋体" w:cs="宋体"/>
                <w:color w:val="000000"/>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564" w:type="dxa"/>
            <w:vMerge w:val="continue"/>
            <w:vAlign w:val="center"/>
          </w:tcPr>
          <w:p>
            <w:pPr>
              <w:adjustRightInd w:val="0"/>
              <w:snapToGrid w:val="0"/>
              <w:spacing w:line="360" w:lineRule="auto"/>
              <w:rPr>
                <w:rFonts w:ascii="宋体" w:hAnsi="宋体" w:cs="宋体"/>
                <w:color w:val="000000"/>
                <w:szCs w:val="21"/>
              </w:rPr>
            </w:pPr>
          </w:p>
        </w:tc>
        <w:tc>
          <w:tcPr>
            <w:tcW w:w="1110" w:type="dxa"/>
            <w:vMerge w:val="continue"/>
            <w:vAlign w:val="center"/>
          </w:tcPr>
          <w:p>
            <w:pPr>
              <w:adjustRightInd w:val="0"/>
              <w:snapToGrid w:val="0"/>
              <w:spacing w:line="360" w:lineRule="auto"/>
              <w:rPr>
                <w:rFonts w:ascii="宋体" w:hAnsi="宋体" w:cs="宋体"/>
                <w:color w:val="000000"/>
                <w:szCs w:val="21"/>
              </w:rPr>
            </w:pPr>
          </w:p>
        </w:tc>
        <w:tc>
          <w:tcPr>
            <w:tcW w:w="1736" w:type="dxa"/>
            <w:vAlign w:val="center"/>
          </w:tcPr>
          <w:p>
            <w:pPr>
              <w:numPr>
                <w:ilvl w:val="0"/>
                <w:numId w:val="10"/>
              </w:num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报价部分评分F1</w:t>
            </w:r>
          </w:p>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（满分10分）</w:t>
            </w:r>
          </w:p>
        </w:tc>
        <w:tc>
          <w:tcPr>
            <w:tcW w:w="5957" w:type="dxa"/>
            <w:vAlign w:val="center"/>
          </w:tcPr>
          <w:p>
            <w:pPr>
              <w:adjustRightInd w:val="0"/>
              <w:snapToGrid w:val="0"/>
              <w:spacing w:line="360" w:lineRule="auto"/>
              <w:rPr>
                <w:rFonts w:ascii="宋体" w:hAnsi="宋体" w:cs="宋体"/>
                <w:color w:val="000000"/>
              </w:rPr>
            </w:pPr>
            <w:r>
              <w:rPr>
                <w:rFonts w:hint="eastAsia" w:ascii="宋体" w:hAnsi="宋体" w:cs="宋体"/>
                <w:color w:val="000000"/>
              </w:rPr>
              <w:t>采用低价优先法计算，满足竞争性磋商文件要求且评审报价最低的为评标基准价，其价格分为满分。其他供应商的价格分统一按照下列公式计算：</w:t>
            </w:r>
          </w:p>
          <w:p>
            <w:pPr>
              <w:adjustRightInd w:val="0"/>
              <w:snapToGrid w:val="0"/>
              <w:spacing w:line="360" w:lineRule="auto"/>
              <w:rPr>
                <w:rFonts w:ascii="宋体" w:hAnsi="宋体" w:cs="宋体"/>
                <w:color w:val="000000"/>
              </w:rPr>
            </w:pPr>
            <w:r>
              <w:rPr>
                <w:rFonts w:hint="eastAsia" w:ascii="宋体" w:hAnsi="宋体" w:cs="宋体"/>
                <w:color w:val="000000"/>
              </w:rPr>
              <w:t>评审报价=该供应商的最终响应报价</w:t>
            </w:r>
          </w:p>
          <w:p>
            <w:pPr>
              <w:adjustRightInd w:val="0"/>
              <w:snapToGrid w:val="0"/>
              <w:spacing w:line="360" w:lineRule="auto"/>
              <w:rPr>
                <w:rFonts w:ascii="宋体" w:hAnsi="宋体" w:cs="宋体"/>
                <w:color w:val="000000"/>
              </w:rPr>
            </w:pPr>
            <w:r>
              <w:rPr>
                <w:rFonts w:hint="eastAsia" w:ascii="宋体" w:hAnsi="宋体" w:cs="宋体"/>
                <w:color w:val="000000"/>
              </w:rPr>
              <w:t>响应报价得分=(评标基准价/该供应商的最终响应报价)×10</w:t>
            </w:r>
          </w:p>
          <w:p>
            <w:pPr>
              <w:adjustRightInd w:val="0"/>
              <w:snapToGrid w:val="0"/>
              <w:spacing w:line="360" w:lineRule="auto"/>
              <w:rPr>
                <w:rFonts w:ascii="宋体" w:hAnsi="宋体" w:cs="宋体"/>
                <w:color w:val="000000"/>
              </w:rPr>
            </w:pPr>
            <w:r>
              <w:rPr>
                <w:rFonts w:hint="eastAsia" w:ascii="宋体" w:hAnsi="宋体" w:cs="宋体"/>
                <w:color w:val="000000"/>
              </w:rPr>
              <w:t>注：本项目属于面向中小企业采购的项目，供应商应为中小微企业、监狱企业、残疾人福利性单位，针对小型和微型企业产品(服务或工程)不再进行优惠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64" w:type="dxa"/>
            <w:vMerge w:val="continue"/>
            <w:vAlign w:val="center"/>
          </w:tcPr>
          <w:p>
            <w:pPr>
              <w:adjustRightInd w:val="0"/>
              <w:snapToGrid w:val="0"/>
              <w:spacing w:line="360" w:lineRule="auto"/>
              <w:rPr>
                <w:rFonts w:ascii="宋体" w:hAnsi="宋体" w:cs="宋体"/>
                <w:color w:val="000000"/>
                <w:szCs w:val="21"/>
              </w:rPr>
            </w:pPr>
          </w:p>
        </w:tc>
        <w:tc>
          <w:tcPr>
            <w:tcW w:w="1110" w:type="dxa"/>
            <w:vMerge w:val="continue"/>
            <w:vAlign w:val="center"/>
          </w:tcPr>
          <w:p>
            <w:pPr>
              <w:adjustRightInd w:val="0"/>
              <w:snapToGrid w:val="0"/>
              <w:spacing w:line="360" w:lineRule="auto"/>
              <w:rPr>
                <w:rFonts w:ascii="宋体" w:hAnsi="宋体" w:cs="宋体"/>
                <w:color w:val="000000"/>
                <w:szCs w:val="21"/>
              </w:rPr>
            </w:pPr>
          </w:p>
        </w:tc>
        <w:tc>
          <w:tcPr>
            <w:tcW w:w="1736" w:type="dxa"/>
            <w:vMerge w:val="restart"/>
            <w:vAlign w:val="center"/>
          </w:tcPr>
          <w:p>
            <w:pPr>
              <w:numPr>
                <w:ilvl w:val="0"/>
                <w:numId w:val="10"/>
              </w:num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商务部分得分F2</w:t>
            </w:r>
          </w:p>
          <w:p>
            <w:pPr>
              <w:adjustRightInd w:val="0"/>
              <w:snapToGrid w:val="0"/>
              <w:spacing w:line="360" w:lineRule="auto"/>
              <w:jc w:val="center"/>
              <w:rPr>
                <w:rFonts w:ascii="宋体" w:hAnsi="宋体" w:cs="宋体"/>
                <w:color w:val="000000"/>
                <w:szCs w:val="21"/>
              </w:rPr>
            </w:pPr>
            <w:r>
              <w:rPr>
                <w:rFonts w:hint="eastAsia" w:ascii="宋体" w:hAnsi="宋体" w:cs="宋体"/>
                <w:color w:val="000000"/>
                <w:szCs w:val="21"/>
              </w:rPr>
              <w:t>（满分</w:t>
            </w:r>
            <w:r>
              <w:rPr>
                <w:rFonts w:ascii="宋体" w:hAnsi="宋体" w:cs="宋体"/>
                <w:color w:val="000000"/>
                <w:szCs w:val="21"/>
              </w:rPr>
              <w:t>20</w:t>
            </w:r>
            <w:r>
              <w:rPr>
                <w:rFonts w:hint="eastAsia" w:ascii="宋体" w:hAnsi="宋体" w:cs="宋体"/>
                <w:color w:val="000000"/>
                <w:szCs w:val="21"/>
              </w:rPr>
              <w:t>分）</w:t>
            </w:r>
          </w:p>
        </w:tc>
        <w:tc>
          <w:tcPr>
            <w:tcW w:w="5957" w:type="dxa"/>
            <w:vAlign w:val="center"/>
          </w:tcPr>
          <w:p>
            <w:pPr>
              <w:adjustRightInd w:val="0"/>
              <w:snapToGrid w:val="0"/>
              <w:spacing w:line="360" w:lineRule="auto"/>
              <w:rPr>
                <w:rFonts w:ascii="宋体" w:hAnsi="宋体" w:cs="宋体"/>
                <w:szCs w:val="21"/>
              </w:rPr>
            </w:pPr>
            <w:r>
              <w:rPr>
                <w:rFonts w:hint="eastAsia" w:ascii="宋体" w:hAnsi="宋体" w:cs="宋体"/>
                <w:szCs w:val="21"/>
              </w:rPr>
              <w:t>1、类似业绩（满分10分）</w:t>
            </w:r>
          </w:p>
          <w:p>
            <w:pPr>
              <w:adjustRightInd w:val="0"/>
              <w:snapToGrid w:val="0"/>
              <w:spacing w:line="360" w:lineRule="auto"/>
              <w:rPr>
                <w:rFonts w:ascii="宋体" w:hAnsi="宋体" w:cs="宋体"/>
                <w:szCs w:val="21"/>
              </w:rPr>
            </w:pPr>
            <w:r>
              <w:rPr>
                <w:rFonts w:hint="eastAsia" w:ascii="宋体" w:hAnsi="宋体" w:cs="宋体"/>
                <w:szCs w:val="21"/>
              </w:rPr>
              <w:t>供应商2021年1月1日至今每具有一个类似业绩得2分，满分10分。</w:t>
            </w:r>
          </w:p>
          <w:p>
            <w:pPr>
              <w:tabs>
                <w:tab w:val="left" w:pos="540"/>
              </w:tabs>
              <w:adjustRightInd w:val="0"/>
              <w:snapToGrid w:val="0"/>
              <w:spacing w:line="360" w:lineRule="auto"/>
            </w:pPr>
            <w:r>
              <w:rPr>
                <w:rFonts w:hint="eastAsia" w:ascii="宋体" w:hAnsi="宋体" w:cs="宋体"/>
                <w:szCs w:val="21"/>
              </w:rPr>
              <w:t>注：需提供相关证明材料（合同协议书或中标（成交）通知书或业主证明材料）。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564" w:type="dxa"/>
            <w:vMerge w:val="continue"/>
            <w:vAlign w:val="center"/>
          </w:tcPr>
          <w:p>
            <w:pPr>
              <w:adjustRightInd w:val="0"/>
              <w:snapToGrid w:val="0"/>
              <w:spacing w:line="360" w:lineRule="auto"/>
            </w:pPr>
          </w:p>
        </w:tc>
        <w:tc>
          <w:tcPr>
            <w:tcW w:w="1110" w:type="dxa"/>
            <w:vMerge w:val="continue"/>
            <w:vAlign w:val="center"/>
          </w:tcPr>
          <w:p>
            <w:pPr>
              <w:adjustRightInd w:val="0"/>
              <w:snapToGrid w:val="0"/>
              <w:spacing w:line="360" w:lineRule="auto"/>
            </w:pPr>
          </w:p>
        </w:tc>
        <w:tc>
          <w:tcPr>
            <w:tcW w:w="1736" w:type="dxa"/>
            <w:vMerge w:val="continue"/>
            <w:vAlign w:val="center"/>
          </w:tcPr>
          <w:p>
            <w:pPr>
              <w:adjustRightInd w:val="0"/>
              <w:snapToGrid w:val="0"/>
              <w:spacing w:line="360" w:lineRule="auto"/>
              <w:rPr>
                <w:rFonts w:ascii="宋体" w:hAnsi="宋体" w:cs="宋体"/>
                <w:color w:val="000000"/>
                <w:szCs w:val="21"/>
              </w:rPr>
            </w:pPr>
          </w:p>
        </w:tc>
        <w:tc>
          <w:tcPr>
            <w:tcW w:w="5957" w:type="dxa"/>
            <w:vAlign w:val="center"/>
          </w:tcPr>
          <w:p>
            <w:pPr>
              <w:adjustRightInd w:val="0"/>
              <w:snapToGrid w:val="0"/>
              <w:spacing w:line="360" w:lineRule="auto"/>
              <w:rPr>
                <w:rFonts w:ascii="宋体" w:hAnsi="宋体" w:cs="宋体"/>
                <w:szCs w:val="21"/>
              </w:rPr>
            </w:pPr>
            <w:r>
              <w:rPr>
                <w:rFonts w:hint="eastAsia" w:ascii="宋体" w:hAnsi="宋体" w:cs="宋体"/>
                <w:szCs w:val="21"/>
              </w:rPr>
              <w:t>2、企业实力（</w:t>
            </w:r>
            <w:r>
              <w:rPr>
                <w:rFonts w:ascii="宋体" w:hAnsi="宋体" w:cs="宋体"/>
                <w:szCs w:val="21"/>
              </w:rPr>
              <w:t>10</w:t>
            </w:r>
            <w:r>
              <w:rPr>
                <w:rFonts w:hint="eastAsia" w:ascii="宋体" w:hAnsi="宋体" w:cs="宋体"/>
                <w:szCs w:val="21"/>
              </w:rPr>
              <w:t>分）</w:t>
            </w:r>
          </w:p>
          <w:p>
            <w:pPr>
              <w:adjustRightInd w:val="0"/>
              <w:snapToGrid w:val="0"/>
              <w:spacing w:line="360" w:lineRule="auto"/>
              <w:rPr>
                <w:rFonts w:ascii="宋体" w:hAnsi="宋体" w:cs="宋体"/>
                <w:color w:val="000000"/>
                <w:szCs w:val="21"/>
              </w:rPr>
            </w:pPr>
            <w:r>
              <w:rPr>
                <w:rFonts w:hint="eastAsia" w:ascii="宋体" w:hAnsi="宋体" w:cs="宋体"/>
                <w:szCs w:val="21"/>
              </w:rPr>
              <w:t>供应商应具备较强信息系统建设和运维服务能力，具有ITSS信息技术服务运行维护标准符合性证书、信息安全服务资质认证证书(CCRC)、信息系统建设和服务能力登记证书(CS2) 、ISO/IEC 20000信息技术服务管理体系认证证书、ISO/IEC 27001信息安全管理体系认证证书，每提供一个证书得2分，满分10分。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vAlign w:val="center"/>
          </w:tcPr>
          <w:p>
            <w:pPr>
              <w:adjustRightInd w:val="0"/>
              <w:snapToGrid w:val="0"/>
              <w:spacing w:line="360" w:lineRule="auto"/>
              <w:rPr>
                <w:rFonts w:ascii="宋体" w:hAnsi="宋体" w:cs="宋体"/>
                <w:color w:val="000000"/>
                <w:szCs w:val="21"/>
              </w:rPr>
            </w:pPr>
          </w:p>
        </w:tc>
        <w:tc>
          <w:tcPr>
            <w:tcW w:w="1110" w:type="dxa"/>
            <w:vMerge w:val="continue"/>
            <w:vAlign w:val="center"/>
          </w:tcPr>
          <w:p>
            <w:pPr>
              <w:adjustRightInd w:val="0"/>
              <w:snapToGrid w:val="0"/>
              <w:spacing w:line="360" w:lineRule="auto"/>
              <w:rPr>
                <w:rFonts w:ascii="宋体" w:hAnsi="宋体" w:cs="宋体"/>
                <w:color w:val="000000"/>
                <w:szCs w:val="21"/>
              </w:rPr>
            </w:pPr>
          </w:p>
        </w:tc>
        <w:tc>
          <w:tcPr>
            <w:tcW w:w="1736" w:type="dxa"/>
            <w:vMerge w:val="restart"/>
            <w:vAlign w:val="center"/>
          </w:tcPr>
          <w:p>
            <w:pPr>
              <w:adjustRightInd w:val="0"/>
              <w:snapToGrid w:val="0"/>
              <w:spacing w:line="360" w:lineRule="auto"/>
              <w:rPr>
                <w:rFonts w:ascii="宋体" w:hAnsi="宋体" w:cs="宋体"/>
                <w:szCs w:val="21"/>
              </w:rPr>
            </w:pPr>
            <w:r>
              <w:rPr>
                <w:rFonts w:hint="eastAsia" w:ascii="宋体" w:hAnsi="宋体" w:cs="宋体"/>
                <w:szCs w:val="21"/>
              </w:rPr>
              <w:t>（5）技术部分得分F3（满分7</w:t>
            </w:r>
            <w:r>
              <w:rPr>
                <w:rFonts w:ascii="宋体" w:hAnsi="宋体" w:cs="宋体"/>
                <w:szCs w:val="21"/>
              </w:rPr>
              <w:t>0</w:t>
            </w:r>
            <w:r>
              <w:rPr>
                <w:rFonts w:hint="eastAsia" w:ascii="宋体" w:hAnsi="宋体" w:cs="宋体"/>
                <w:szCs w:val="21"/>
              </w:rPr>
              <w:t>分）</w:t>
            </w:r>
          </w:p>
        </w:tc>
        <w:tc>
          <w:tcPr>
            <w:tcW w:w="5957" w:type="dxa"/>
            <w:vAlign w:val="center"/>
          </w:tcPr>
          <w:p>
            <w:pPr>
              <w:adjustRightInd w:val="0"/>
              <w:snapToGrid w:val="0"/>
              <w:spacing w:line="360" w:lineRule="auto"/>
              <w:rPr>
                <w:rFonts w:ascii="宋体" w:hAnsi="宋体" w:cs="宋体"/>
                <w:szCs w:val="21"/>
              </w:rPr>
            </w:pPr>
            <w:r>
              <w:rPr>
                <w:rFonts w:hint="eastAsia" w:ascii="宋体" w:hAnsi="宋体" w:cs="宋体"/>
                <w:szCs w:val="21"/>
              </w:rPr>
              <w:t>1、总体维护方案（满分</w:t>
            </w:r>
            <w:r>
              <w:rPr>
                <w:rFonts w:ascii="宋体" w:hAnsi="宋体" w:cs="宋体"/>
                <w:szCs w:val="21"/>
              </w:rPr>
              <w:t>20</w:t>
            </w:r>
            <w:r>
              <w:rPr>
                <w:rFonts w:hint="eastAsia" w:ascii="宋体" w:hAnsi="宋体" w:cs="宋体"/>
                <w:szCs w:val="21"/>
              </w:rPr>
              <w:t>分）</w:t>
            </w:r>
          </w:p>
          <w:p>
            <w:pPr>
              <w:adjustRightInd w:val="0"/>
              <w:snapToGrid w:val="0"/>
              <w:spacing w:line="360" w:lineRule="auto"/>
              <w:rPr>
                <w:rFonts w:ascii="宋体" w:hAnsi="宋体" w:cs="宋体"/>
                <w:szCs w:val="21"/>
              </w:rPr>
            </w:pPr>
            <w:r>
              <w:rPr>
                <w:rFonts w:hint="eastAsia" w:ascii="宋体" w:hAnsi="宋体" w:cs="宋体"/>
                <w:szCs w:val="21"/>
              </w:rPr>
              <w:t>第一档：项目实施方案满足项目需求，且针对性强，对实施过程中的重点及难点的分析理解较为透彻，提出的方案完整、具体、科学、合理、可行，得</w:t>
            </w:r>
            <w:r>
              <w:rPr>
                <w:rFonts w:ascii="宋体" w:hAnsi="宋体" w:cs="宋体"/>
                <w:szCs w:val="21"/>
              </w:rPr>
              <w:t>20</w:t>
            </w:r>
            <w:r>
              <w:rPr>
                <w:rFonts w:hint="eastAsia" w:ascii="宋体" w:hAnsi="宋体" w:cs="宋体"/>
                <w:szCs w:val="21"/>
              </w:rPr>
              <w:t>分；</w:t>
            </w:r>
          </w:p>
          <w:p>
            <w:pPr>
              <w:adjustRightInd w:val="0"/>
              <w:snapToGrid w:val="0"/>
              <w:spacing w:line="360" w:lineRule="auto"/>
              <w:rPr>
                <w:rFonts w:ascii="宋体" w:hAnsi="宋体" w:cs="宋体"/>
                <w:szCs w:val="21"/>
              </w:rPr>
            </w:pPr>
            <w:r>
              <w:rPr>
                <w:rFonts w:hint="eastAsia" w:ascii="宋体" w:hAnsi="宋体" w:cs="宋体"/>
                <w:szCs w:val="21"/>
              </w:rPr>
              <w:t>第二档：项目实施方案满足项目需求，针对性较好，对实施过程中重点及难点的分析理解较清晰，方案内容较完整、合理可行，得1</w:t>
            </w:r>
            <w:r>
              <w:rPr>
                <w:rFonts w:ascii="宋体" w:hAnsi="宋体" w:cs="宋体"/>
                <w:szCs w:val="21"/>
              </w:rPr>
              <w:t>5</w:t>
            </w:r>
            <w:r>
              <w:rPr>
                <w:rFonts w:hint="eastAsia" w:ascii="宋体" w:hAnsi="宋体" w:cs="宋体"/>
                <w:szCs w:val="21"/>
              </w:rPr>
              <w:t>分；</w:t>
            </w:r>
          </w:p>
          <w:p>
            <w:pPr>
              <w:adjustRightInd w:val="0"/>
              <w:snapToGrid w:val="0"/>
              <w:spacing w:line="360" w:lineRule="auto"/>
              <w:rPr>
                <w:rFonts w:ascii="宋体" w:hAnsi="宋体" w:cs="宋体"/>
                <w:szCs w:val="21"/>
              </w:rPr>
            </w:pPr>
            <w:r>
              <w:rPr>
                <w:rFonts w:hint="eastAsia" w:ascii="宋体" w:hAnsi="宋体" w:cs="宋体"/>
                <w:szCs w:val="21"/>
              </w:rPr>
              <w:t>第三档：项目实施方案满足项目需求，针对性一般，对实施过程中的重点及难点的分析理解不足，方案内容基本完整、合理，得</w:t>
            </w:r>
            <w:r>
              <w:rPr>
                <w:rFonts w:ascii="宋体" w:hAnsi="宋体" w:cs="宋体"/>
                <w:szCs w:val="21"/>
              </w:rPr>
              <w:t>10</w:t>
            </w:r>
            <w:r>
              <w:rPr>
                <w:rFonts w:hint="eastAsia" w:ascii="宋体" w:hAnsi="宋体" w:cs="宋体"/>
                <w:szCs w:val="21"/>
              </w:rPr>
              <w:t>分；</w:t>
            </w:r>
          </w:p>
          <w:p>
            <w:pPr>
              <w:adjustRightInd w:val="0"/>
              <w:snapToGrid w:val="0"/>
              <w:spacing w:line="360" w:lineRule="auto"/>
              <w:rPr>
                <w:rFonts w:ascii="宋体" w:hAnsi="宋体" w:cs="宋体"/>
                <w:szCs w:val="21"/>
              </w:rPr>
            </w:pPr>
            <w:r>
              <w:rPr>
                <w:rFonts w:hint="eastAsia" w:ascii="宋体" w:hAnsi="宋体" w:cs="宋体"/>
                <w:szCs w:val="21"/>
              </w:rPr>
              <w:t>第四档：项目实施方案未完全满足项目需求，或项目实施方案针对性、完整性等差的，得5分</w:t>
            </w:r>
          </w:p>
          <w:p>
            <w:pPr>
              <w:adjustRightInd w:val="0"/>
              <w:snapToGrid w:val="0"/>
              <w:spacing w:line="360" w:lineRule="auto"/>
              <w:rPr>
                <w:rFonts w:ascii="宋体" w:hAnsi="宋体" w:cs="宋体"/>
                <w:szCs w:val="21"/>
              </w:rPr>
            </w:pPr>
            <w:r>
              <w:rPr>
                <w:rFonts w:hint="eastAsia" w:ascii="宋体" w:hAnsi="宋体" w:cs="宋体"/>
                <w:szCs w:val="21"/>
              </w:rPr>
              <w:t>第五档：无项目实施方案的得0分。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vAlign w:val="center"/>
          </w:tcPr>
          <w:p>
            <w:pPr>
              <w:adjustRightInd w:val="0"/>
              <w:snapToGrid w:val="0"/>
              <w:spacing w:line="360" w:lineRule="auto"/>
              <w:rPr>
                <w:rFonts w:ascii="宋体" w:hAnsi="宋体" w:cs="宋体"/>
                <w:color w:val="000000"/>
                <w:szCs w:val="21"/>
              </w:rPr>
            </w:pPr>
          </w:p>
        </w:tc>
        <w:tc>
          <w:tcPr>
            <w:tcW w:w="1110" w:type="dxa"/>
            <w:vMerge w:val="continue"/>
            <w:vAlign w:val="center"/>
          </w:tcPr>
          <w:p>
            <w:pPr>
              <w:adjustRightInd w:val="0"/>
              <w:snapToGrid w:val="0"/>
              <w:spacing w:line="360" w:lineRule="auto"/>
              <w:rPr>
                <w:rFonts w:ascii="宋体" w:hAnsi="宋体" w:cs="宋体"/>
                <w:color w:val="000000"/>
                <w:szCs w:val="21"/>
              </w:rPr>
            </w:pPr>
          </w:p>
        </w:tc>
        <w:tc>
          <w:tcPr>
            <w:tcW w:w="1736" w:type="dxa"/>
            <w:vMerge w:val="continue"/>
            <w:vAlign w:val="center"/>
          </w:tcPr>
          <w:p>
            <w:pPr>
              <w:adjustRightInd w:val="0"/>
              <w:snapToGrid w:val="0"/>
              <w:spacing w:line="360" w:lineRule="auto"/>
              <w:rPr>
                <w:rFonts w:ascii="宋体" w:hAnsi="宋体" w:cs="宋体"/>
                <w:szCs w:val="21"/>
              </w:rPr>
            </w:pPr>
          </w:p>
        </w:tc>
        <w:tc>
          <w:tcPr>
            <w:tcW w:w="5957" w:type="dxa"/>
            <w:vAlign w:val="center"/>
          </w:tcPr>
          <w:p>
            <w:pPr>
              <w:adjustRightInd w:val="0"/>
              <w:snapToGrid w:val="0"/>
              <w:spacing w:line="360" w:lineRule="auto"/>
              <w:rPr>
                <w:rFonts w:ascii="宋体" w:hAnsi="宋体" w:cs="宋体"/>
                <w:szCs w:val="21"/>
              </w:rPr>
            </w:pPr>
            <w:r>
              <w:rPr>
                <w:rFonts w:hint="eastAsia" w:ascii="宋体" w:hAnsi="宋体" w:cs="宋体"/>
                <w:szCs w:val="21"/>
              </w:rPr>
              <w:t>2、运维能力评审（10分）</w:t>
            </w:r>
          </w:p>
          <w:p>
            <w:pPr>
              <w:adjustRightInd w:val="0"/>
              <w:snapToGrid w:val="0"/>
              <w:spacing w:line="360" w:lineRule="auto"/>
              <w:rPr>
                <w:rFonts w:ascii="宋体" w:hAnsi="宋体" w:cs="宋体"/>
                <w:szCs w:val="21"/>
              </w:rPr>
            </w:pPr>
            <w:r>
              <w:rPr>
                <w:rFonts w:hint="eastAsia" w:ascii="宋体" w:hAnsi="宋体" w:cs="宋体"/>
                <w:szCs w:val="21"/>
              </w:rPr>
              <w:t>第一档：现有设备及软件系统、日常管理任务、系统维护等运维内容详实、全面、规范、可操作性强，包含项目实施的各项、各个环节，能结合项目背景提出针对性强的保障措施和实施细节的，得10分；</w:t>
            </w:r>
          </w:p>
          <w:p>
            <w:pPr>
              <w:adjustRightInd w:val="0"/>
              <w:snapToGrid w:val="0"/>
              <w:spacing w:line="360" w:lineRule="auto"/>
              <w:rPr>
                <w:rFonts w:ascii="宋体" w:hAnsi="宋体" w:cs="宋体"/>
                <w:szCs w:val="21"/>
              </w:rPr>
            </w:pPr>
            <w:r>
              <w:rPr>
                <w:rFonts w:hint="eastAsia" w:ascii="宋体" w:hAnsi="宋体" w:cs="宋体"/>
                <w:szCs w:val="21"/>
              </w:rPr>
              <w:t>第二档：现有设备及软件系统、日常管理任务、系统维护等运维内容完整、规范，包含项目实施的各项、各个环节，能满足项目的基本需求，保障措施可行性好，针对性一般的，得</w:t>
            </w:r>
            <w:r>
              <w:rPr>
                <w:rFonts w:ascii="宋体" w:hAnsi="宋体" w:cs="宋体"/>
                <w:szCs w:val="21"/>
              </w:rPr>
              <w:t>7</w:t>
            </w:r>
            <w:r>
              <w:rPr>
                <w:rFonts w:hint="eastAsia" w:ascii="宋体" w:hAnsi="宋体" w:cs="宋体"/>
                <w:szCs w:val="21"/>
              </w:rPr>
              <w:t>分；</w:t>
            </w:r>
          </w:p>
          <w:p>
            <w:pPr>
              <w:adjustRightInd w:val="0"/>
              <w:snapToGrid w:val="0"/>
              <w:spacing w:line="360" w:lineRule="auto"/>
              <w:rPr>
                <w:rFonts w:hint="eastAsia" w:ascii="宋体" w:hAnsi="宋体" w:cs="宋体"/>
                <w:szCs w:val="21"/>
              </w:rPr>
            </w:pPr>
            <w:r>
              <w:rPr>
                <w:rFonts w:hint="eastAsia" w:ascii="宋体" w:hAnsi="宋体" w:cs="宋体"/>
                <w:szCs w:val="21"/>
              </w:rPr>
              <w:t>第三档：现有设备及软件系统、日常管理任务、系统维护等运维内容较完整，包含项目实施的各项、各个环节，能满足项目的基本需求，保障措施可行一般，针对性一般的，得</w:t>
            </w:r>
            <w:r>
              <w:rPr>
                <w:rFonts w:ascii="宋体" w:hAnsi="宋体" w:cs="宋体"/>
                <w:szCs w:val="21"/>
              </w:rPr>
              <w:t>5</w:t>
            </w:r>
            <w:r>
              <w:rPr>
                <w:rFonts w:hint="eastAsia" w:ascii="宋体" w:hAnsi="宋体" w:cs="宋体"/>
                <w:szCs w:val="21"/>
              </w:rPr>
              <w:t>分。</w:t>
            </w:r>
          </w:p>
          <w:p>
            <w:pPr>
              <w:adjustRightInd w:val="0"/>
              <w:snapToGrid w:val="0"/>
              <w:spacing w:line="360" w:lineRule="auto"/>
              <w:rPr>
                <w:rFonts w:ascii="宋体" w:hAnsi="宋体" w:cs="宋体"/>
                <w:szCs w:val="21"/>
              </w:rPr>
            </w:pPr>
            <w:r>
              <w:rPr>
                <w:rFonts w:hint="eastAsia" w:ascii="宋体" w:hAnsi="宋体" w:cs="宋体"/>
                <w:szCs w:val="21"/>
              </w:rPr>
              <w:t>第四个档次：现有设备及软件系统、日常管理任务、系统维护等运维内容简单粗略、不完整，针对性、操作性不足，仅能满足部分需求的，得3分；</w:t>
            </w:r>
          </w:p>
          <w:p>
            <w:pPr>
              <w:adjustRightInd w:val="0"/>
              <w:snapToGrid w:val="0"/>
              <w:spacing w:line="360" w:lineRule="auto"/>
              <w:rPr>
                <w:rFonts w:ascii="宋体" w:hAnsi="宋体" w:cs="宋体"/>
                <w:szCs w:val="21"/>
              </w:rPr>
            </w:pPr>
            <w:r>
              <w:rPr>
                <w:rFonts w:hint="eastAsia" w:ascii="宋体" w:hAnsi="宋体" w:cs="宋体"/>
                <w:szCs w:val="21"/>
              </w:rPr>
              <w:t>第五档：现有设备及软件系统、日常管理任务、系统维护等运维内容未进行阐述，不能满足需求或无方案的，得0分。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vAlign w:val="center"/>
          </w:tcPr>
          <w:p>
            <w:pPr>
              <w:adjustRightInd w:val="0"/>
              <w:snapToGrid w:val="0"/>
              <w:spacing w:line="360" w:lineRule="auto"/>
              <w:rPr>
                <w:rFonts w:ascii="宋体" w:hAnsi="宋体" w:cs="宋体"/>
                <w:color w:val="000000"/>
                <w:szCs w:val="21"/>
              </w:rPr>
            </w:pPr>
          </w:p>
        </w:tc>
        <w:tc>
          <w:tcPr>
            <w:tcW w:w="1110" w:type="dxa"/>
            <w:vMerge w:val="continue"/>
            <w:vAlign w:val="center"/>
          </w:tcPr>
          <w:p>
            <w:pPr>
              <w:adjustRightInd w:val="0"/>
              <w:snapToGrid w:val="0"/>
              <w:spacing w:line="360" w:lineRule="auto"/>
              <w:rPr>
                <w:rFonts w:ascii="宋体" w:hAnsi="宋体" w:cs="宋体"/>
                <w:color w:val="000000"/>
                <w:szCs w:val="21"/>
              </w:rPr>
            </w:pPr>
          </w:p>
        </w:tc>
        <w:tc>
          <w:tcPr>
            <w:tcW w:w="1736" w:type="dxa"/>
            <w:vMerge w:val="continue"/>
            <w:vAlign w:val="center"/>
          </w:tcPr>
          <w:p>
            <w:pPr>
              <w:adjustRightInd w:val="0"/>
              <w:snapToGrid w:val="0"/>
              <w:spacing w:line="360" w:lineRule="auto"/>
              <w:rPr>
                <w:rFonts w:ascii="宋体" w:hAnsi="宋体" w:cs="宋体"/>
                <w:szCs w:val="21"/>
              </w:rPr>
            </w:pPr>
          </w:p>
        </w:tc>
        <w:tc>
          <w:tcPr>
            <w:tcW w:w="5957" w:type="dxa"/>
            <w:vAlign w:val="center"/>
          </w:tcPr>
          <w:p>
            <w:pPr>
              <w:adjustRightInd w:val="0"/>
              <w:snapToGrid w:val="0"/>
              <w:spacing w:line="360" w:lineRule="auto"/>
              <w:rPr>
                <w:rFonts w:ascii="宋体" w:hAnsi="宋体" w:cs="宋体"/>
                <w:szCs w:val="21"/>
              </w:rPr>
            </w:pPr>
            <w:r>
              <w:rPr>
                <w:rFonts w:hint="eastAsia" w:ascii="宋体" w:hAnsi="宋体" w:cs="宋体"/>
                <w:szCs w:val="21"/>
              </w:rPr>
              <w:t>3、项目进度计划（10分）</w:t>
            </w:r>
          </w:p>
          <w:p>
            <w:pPr>
              <w:adjustRightInd w:val="0"/>
              <w:snapToGrid w:val="0"/>
              <w:spacing w:line="360" w:lineRule="auto"/>
              <w:rPr>
                <w:rFonts w:hint="eastAsia" w:ascii="宋体" w:hAnsi="宋体" w:cs="宋体"/>
                <w:szCs w:val="21"/>
              </w:rPr>
            </w:pPr>
            <w:r>
              <w:rPr>
                <w:rFonts w:hint="eastAsia" w:ascii="宋体" w:hAnsi="宋体" w:cs="宋体"/>
                <w:szCs w:val="21"/>
              </w:rPr>
              <w:t>第一档：项目进度计划详细、科学、可行，有具体的实施计划的，得10分；</w:t>
            </w:r>
          </w:p>
          <w:p>
            <w:pPr>
              <w:adjustRightInd w:val="0"/>
              <w:snapToGrid w:val="0"/>
              <w:spacing w:line="360" w:lineRule="auto"/>
              <w:rPr>
                <w:rFonts w:hint="eastAsia" w:ascii="宋体" w:hAnsi="宋体" w:cs="宋体"/>
                <w:szCs w:val="21"/>
              </w:rPr>
            </w:pPr>
            <w:r>
              <w:rPr>
                <w:rFonts w:hint="eastAsia" w:ascii="宋体" w:hAnsi="宋体" w:cs="宋体"/>
                <w:szCs w:val="21"/>
              </w:rPr>
              <w:t>第二档：项目进度计划较为详细，可行但实施计划不够具体的，得</w:t>
            </w:r>
            <w:r>
              <w:rPr>
                <w:rFonts w:ascii="宋体" w:hAnsi="宋体" w:cs="宋体"/>
                <w:szCs w:val="21"/>
              </w:rPr>
              <w:t>7</w:t>
            </w:r>
            <w:r>
              <w:rPr>
                <w:rFonts w:hint="eastAsia" w:ascii="宋体" w:hAnsi="宋体" w:cs="宋体"/>
                <w:szCs w:val="21"/>
              </w:rPr>
              <w:t>分；</w:t>
            </w:r>
          </w:p>
          <w:p>
            <w:pPr>
              <w:adjustRightInd w:val="0"/>
              <w:snapToGrid w:val="0"/>
              <w:spacing w:line="360" w:lineRule="auto"/>
              <w:rPr>
                <w:rFonts w:hint="eastAsia" w:ascii="宋体" w:hAnsi="宋体" w:cs="宋体"/>
                <w:szCs w:val="21"/>
              </w:rPr>
            </w:pPr>
            <w:r>
              <w:rPr>
                <w:rFonts w:hint="eastAsia" w:ascii="宋体" w:hAnsi="宋体" w:cs="宋体"/>
                <w:szCs w:val="21"/>
              </w:rPr>
              <w:t>第三档：项目进度计划计划基本可行，存在一定瑕疵的，得</w:t>
            </w:r>
            <w:r>
              <w:rPr>
                <w:rFonts w:ascii="宋体" w:hAnsi="宋体" w:cs="宋体"/>
                <w:szCs w:val="21"/>
              </w:rPr>
              <w:t>5</w:t>
            </w:r>
            <w:r>
              <w:rPr>
                <w:rFonts w:hint="eastAsia" w:ascii="宋体" w:hAnsi="宋体" w:cs="宋体"/>
                <w:szCs w:val="21"/>
              </w:rPr>
              <w:t>分；</w:t>
            </w:r>
          </w:p>
          <w:p>
            <w:pPr>
              <w:adjustRightInd w:val="0"/>
              <w:snapToGrid w:val="0"/>
              <w:spacing w:line="360" w:lineRule="auto"/>
              <w:rPr>
                <w:rFonts w:hint="eastAsia" w:ascii="宋体" w:hAnsi="宋体" w:cs="宋体"/>
                <w:szCs w:val="21"/>
              </w:rPr>
            </w:pPr>
            <w:r>
              <w:rPr>
                <w:rFonts w:hint="eastAsia" w:ascii="宋体" w:hAnsi="宋体" w:cs="宋体"/>
                <w:szCs w:val="21"/>
              </w:rPr>
              <w:t>第四档：项目进度计划不够合理或者存在较大缺陷的，得</w:t>
            </w:r>
            <w:r>
              <w:rPr>
                <w:rFonts w:ascii="宋体" w:hAnsi="宋体" w:cs="宋体"/>
                <w:szCs w:val="21"/>
              </w:rPr>
              <w:t>3</w:t>
            </w:r>
            <w:r>
              <w:rPr>
                <w:rFonts w:hint="eastAsia" w:ascii="宋体" w:hAnsi="宋体" w:cs="宋体"/>
                <w:szCs w:val="21"/>
              </w:rPr>
              <w:t>分；</w:t>
            </w:r>
          </w:p>
          <w:p>
            <w:pPr>
              <w:adjustRightInd w:val="0"/>
              <w:snapToGrid w:val="0"/>
              <w:spacing w:line="360" w:lineRule="auto"/>
              <w:rPr>
                <w:rFonts w:ascii="宋体" w:hAnsi="宋体" w:cs="宋体"/>
                <w:szCs w:val="21"/>
              </w:rPr>
            </w:pPr>
            <w:r>
              <w:rPr>
                <w:rFonts w:hint="eastAsia" w:ascii="宋体" w:hAnsi="宋体" w:cs="宋体"/>
                <w:szCs w:val="21"/>
              </w:rPr>
              <w:t>第五档：无项目进度计划的得0分。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vAlign w:val="center"/>
          </w:tcPr>
          <w:p>
            <w:pPr>
              <w:adjustRightInd w:val="0"/>
              <w:snapToGrid w:val="0"/>
              <w:spacing w:line="360" w:lineRule="auto"/>
              <w:rPr>
                <w:rFonts w:ascii="宋体" w:hAnsi="宋体" w:cs="宋体"/>
                <w:color w:val="000000"/>
                <w:szCs w:val="21"/>
              </w:rPr>
            </w:pPr>
          </w:p>
        </w:tc>
        <w:tc>
          <w:tcPr>
            <w:tcW w:w="1110" w:type="dxa"/>
            <w:vMerge w:val="continue"/>
            <w:vAlign w:val="center"/>
          </w:tcPr>
          <w:p>
            <w:pPr>
              <w:adjustRightInd w:val="0"/>
              <w:snapToGrid w:val="0"/>
              <w:spacing w:line="360" w:lineRule="auto"/>
              <w:rPr>
                <w:rFonts w:ascii="宋体" w:hAnsi="宋体" w:cs="宋体"/>
                <w:color w:val="000000"/>
                <w:szCs w:val="21"/>
              </w:rPr>
            </w:pPr>
          </w:p>
        </w:tc>
        <w:tc>
          <w:tcPr>
            <w:tcW w:w="1736" w:type="dxa"/>
            <w:vMerge w:val="continue"/>
            <w:vAlign w:val="center"/>
          </w:tcPr>
          <w:p>
            <w:pPr>
              <w:adjustRightInd w:val="0"/>
              <w:snapToGrid w:val="0"/>
              <w:spacing w:line="360" w:lineRule="auto"/>
              <w:ind w:firstLine="28"/>
              <w:jc w:val="center"/>
              <w:rPr>
                <w:rFonts w:ascii="宋体" w:hAnsi="宋体" w:cs="宋体"/>
                <w:color w:val="000000"/>
                <w:szCs w:val="21"/>
              </w:rPr>
            </w:pPr>
          </w:p>
        </w:tc>
        <w:tc>
          <w:tcPr>
            <w:tcW w:w="5957" w:type="dxa"/>
            <w:vAlign w:val="center"/>
          </w:tcPr>
          <w:p>
            <w:pPr>
              <w:adjustRightInd w:val="0"/>
              <w:snapToGrid w:val="0"/>
              <w:spacing w:line="360" w:lineRule="auto"/>
              <w:rPr>
                <w:rFonts w:ascii="宋体" w:hAnsi="宋体" w:cs="宋体"/>
                <w:szCs w:val="21"/>
              </w:rPr>
            </w:pPr>
            <w:r>
              <w:rPr>
                <w:rFonts w:ascii="宋体" w:hAnsi="宋体" w:cs="宋体"/>
                <w:szCs w:val="21"/>
              </w:rPr>
              <w:t>4</w:t>
            </w:r>
            <w:r>
              <w:rPr>
                <w:rFonts w:hint="eastAsia" w:ascii="宋体" w:hAnsi="宋体" w:cs="宋体"/>
                <w:szCs w:val="21"/>
              </w:rPr>
              <w:t>、服务承诺（满分10分）</w:t>
            </w:r>
          </w:p>
          <w:p>
            <w:pPr>
              <w:adjustRightInd w:val="0"/>
              <w:snapToGrid w:val="0"/>
              <w:spacing w:line="360" w:lineRule="auto"/>
              <w:rPr>
                <w:rFonts w:hint="eastAsia" w:ascii="宋体" w:hAnsi="宋体" w:cs="宋体"/>
                <w:szCs w:val="21"/>
              </w:rPr>
            </w:pPr>
            <w:r>
              <w:rPr>
                <w:rFonts w:hint="eastAsia" w:ascii="宋体" w:hAnsi="宋体" w:cs="宋体"/>
                <w:szCs w:val="21"/>
              </w:rPr>
              <w:t>第一档：服务承诺满足项目需求，全面、详细、规范、针对性强，能充分保证服务到位周全，质量优秀，具有明确违约责任的得10分；</w:t>
            </w:r>
          </w:p>
          <w:p>
            <w:pPr>
              <w:adjustRightInd w:val="0"/>
              <w:snapToGrid w:val="0"/>
              <w:spacing w:line="360" w:lineRule="auto"/>
              <w:rPr>
                <w:rFonts w:hint="eastAsia" w:ascii="宋体" w:hAnsi="宋体" w:cs="宋体"/>
                <w:szCs w:val="21"/>
              </w:rPr>
            </w:pPr>
            <w:r>
              <w:rPr>
                <w:rFonts w:hint="eastAsia" w:ascii="宋体" w:hAnsi="宋体" w:cs="宋体"/>
                <w:szCs w:val="21"/>
              </w:rPr>
              <w:t>第二档：服务承诺能够满足项目需求，较全面、有效、规范，能保证服务到位，质量达标，违约责任一般的得7分；</w:t>
            </w:r>
          </w:p>
          <w:p>
            <w:pPr>
              <w:adjustRightInd w:val="0"/>
              <w:snapToGrid w:val="0"/>
              <w:spacing w:line="360" w:lineRule="auto"/>
              <w:rPr>
                <w:rFonts w:hint="eastAsia" w:ascii="宋体" w:hAnsi="宋体" w:cs="宋体"/>
                <w:szCs w:val="21"/>
              </w:rPr>
            </w:pPr>
            <w:r>
              <w:rPr>
                <w:rFonts w:hint="eastAsia" w:ascii="宋体" w:hAnsi="宋体" w:cs="宋体"/>
                <w:szCs w:val="21"/>
              </w:rPr>
              <w:t>第三档：服务承诺基本满足项目需求的，针对性不强或内容简单、粗略，服务、质量得不到保障，无明确违约责任的得5分；</w:t>
            </w:r>
          </w:p>
          <w:p>
            <w:pPr>
              <w:adjustRightInd w:val="0"/>
              <w:snapToGrid w:val="0"/>
              <w:spacing w:line="360" w:lineRule="auto"/>
              <w:rPr>
                <w:rFonts w:hint="eastAsia" w:ascii="宋体" w:hAnsi="宋体" w:cs="宋体"/>
                <w:szCs w:val="21"/>
              </w:rPr>
            </w:pPr>
            <w:r>
              <w:rPr>
                <w:rFonts w:hint="eastAsia" w:ascii="宋体" w:hAnsi="宋体" w:cs="宋体"/>
                <w:szCs w:val="21"/>
              </w:rPr>
              <w:t>第四档：服务承诺内容有重大缺陷或无项目针对性，无违约责任的得3分；</w:t>
            </w:r>
          </w:p>
          <w:p>
            <w:pPr>
              <w:adjustRightInd w:val="0"/>
              <w:snapToGrid w:val="0"/>
              <w:spacing w:line="360" w:lineRule="auto"/>
            </w:pPr>
            <w:r>
              <w:rPr>
                <w:rFonts w:hint="eastAsia" w:ascii="宋体" w:hAnsi="宋体" w:cs="宋体"/>
                <w:szCs w:val="21"/>
              </w:rPr>
              <w:t>第五档：无服务承诺的得0分。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4" w:type="dxa"/>
            <w:vMerge w:val="continue"/>
            <w:vAlign w:val="center"/>
          </w:tcPr>
          <w:p>
            <w:pPr>
              <w:adjustRightInd w:val="0"/>
              <w:snapToGrid w:val="0"/>
              <w:spacing w:line="360" w:lineRule="auto"/>
              <w:rPr>
                <w:rFonts w:ascii="宋体" w:hAnsi="宋体" w:cs="宋体"/>
                <w:color w:val="000000"/>
                <w:szCs w:val="21"/>
              </w:rPr>
            </w:pPr>
          </w:p>
        </w:tc>
        <w:tc>
          <w:tcPr>
            <w:tcW w:w="1110" w:type="dxa"/>
            <w:vMerge w:val="continue"/>
            <w:vAlign w:val="center"/>
          </w:tcPr>
          <w:p>
            <w:pPr>
              <w:adjustRightInd w:val="0"/>
              <w:snapToGrid w:val="0"/>
              <w:spacing w:line="360" w:lineRule="auto"/>
              <w:rPr>
                <w:rFonts w:ascii="宋体" w:hAnsi="宋体" w:cs="宋体"/>
                <w:color w:val="000000"/>
                <w:szCs w:val="21"/>
              </w:rPr>
            </w:pPr>
          </w:p>
        </w:tc>
        <w:tc>
          <w:tcPr>
            <w:tcW w:w="1736" w:type="dxa"/>
            <w:vMerge w:val="continue"/>
            <w:vAlign w:val="center"/>
          </w:tcPr>
          <w:p>
            <w:pPr>
              <w:adjustRightInd w:val="0"/>
              <w:snapToGrid w:val="0"/>
              <w:spacing w:line="360" w:lineRule="auto"/>
              <w:ind w:firstLine="28"/>
              <w:jc w:val="center"/>
              <w:rPr>
                <w:rFonts w:ascii="宋体" w:hAnsi="宋体" w:cs="宋体"/>
                <w:color w:val="000000"/>
                <w:szCs w:val="21"/>
              </w:rPr>
            </w:pPr>
          </w:p>
        </w:tc>
        <w:tc>
          <w:tcPr>
            <w:tcW w:w="5957" w:type="dxa"/>
            <w:vAlign w:val="center"/>
          </w:tcPr>
          <w:p>
            <w:pPr>
              <w:adjustRightInd w:val="0"/>
              <w:snapToGrid w:val="0"/>
              <w:spacing w:line="360" w:lineRule="auto"/>
              <w:rPr>
                <w:rFonts w:ascii="宋体" w:hAnsi="宋体" w:cs="宋体"/>
                <w:szCs w:val="21"/>
              </w:rPr>
            </w:pPr>
            <w:r>
              <w:rPr>
                <w:rFonts w:ascii="宋体" w:hAnsi="宋体" w:cs="宋体"/>
                <w:szCs w:val="21"/>
              </w:rPr>
              <w:t>5</w:t>
            </w:r>
            <w:r>
              <w:rPr>
                <w:rFonts w:hint="eastAsia" w:ascii="宋体" w:hAnsi="宋体" w:cs="宋体"/>
                <w:szCs w:val="21"/>
              </w:rPr>
              <w:t>、派往本项目的人员配置情况评审评分（满分</w:t>
            </w:r>
            <w:r>
              <w:rPr>
                <w:rFonts w:ascii="宋体" w:hAnsi="宋体" w:cs="宋体"/>
                <w:szCs w:val="21"/>
              </w:rPr>
              <w:t>20</w:t>
            </w:r>
            <w:r>
              <w:rPr>
                <w:rFonts w:hint="eastAsia" w:ascii="宋体" w:hAnsi="宋体" w:cs="宋体"/>
                <w:szCs w:val="21"/>
              </w:rPr>
              <w:t>分）</w:t>
            </w:r>
          </w:p>
          <w:p>
            <w:pPr>
              <w:adjustRightInd w:val="0"/>
              <w:snapToGrid w:val="0"/>
              <w:spacing w:line="360" w:lineRule="auto"/>
              <w:rPr>
                <w:rFonts w:hint="eastAsia" w:ascii="宋体" w:hAnsi="宋体" w:cs="宋体"/>
                <w:szCs w:val="21"/>
              </w:rPr>
            </w:pPr>
            <w:r>
              <w:rPr>
                <w:rFonts w:hint="eastAsia" w:ascii="宋体" w:hAnsi="宋体" w:cs="宋体"/>
                <w:szCs w:val="21"/>
              </w:rPr>
              <w:t>（1）项目负责人（满分</w:t>
            </w:r>
            <w:r>
              <w:rPr>
                <w:rFonts w:ascii="宋体" w:hAnsi="宋体" w:cs="宋体"/>
                <w:szCs w:val="21"/>
              </w:rPr>
              <w:t>10</w:t>
            </w:r>
            <w:r>
              <w:rPr>
                <w:rFonts w:hint="eastAsia" w:ascii="宋体" w:hAnsi="宋体" w:cs="宋体"/>
                <w:szCs w:val="21"/>
              </w:rPr>
              <w:t>分）</w:t>
            </w:r>
          </w:p>
          <w:p>
            <w:pPr>
              <w:adjustRightInd w:val="0"/>
              <w:snapToGrid w:val="0"/>
              <w:spacing w:line="360" w:lineRule="auto"/>
              <w:rPr>
                <w:rFonts w:ascii="宋体" w:hAnsi="宋体" w:cs="宋体"/>
                <w:szCs w:val="21"/>
              </w:rPr>
            </w:pPr>
            <w:r>
              <w:rPr>
                <w:rFonts w:hint="eastAsia" w:ascii="宋体" w:hAnsi="宋体" w:cs="宋体"/>
                <w:szCs w:val="21"/>
              </w:rPr>
              <w:t>项目团队应当配备项目负责人，配备项目负责人的得基础分</w:t>
            </w:r>
            <w:r>
              <w:rPr>
                <w:rFonts w:hint="eastAsia" w:ascii="宋体" w:hAnsi="宋体" w:cs="宋体"/>
                <w:szCs w:val="21"/>
                <w:lang w:val="en-US" w:eastAsia="zh-CN"/>
              </w:rPr>
              <w:t>4</w:t>
            </w:r>
            <w:r>
              <w:rPr>
                <w:rFonts w:hint="eastAsia" w:ascii="宋体" w:hAnsi="宋体" w:cs="宋体"/>
                <w:szCs w:val="21"/>
              </w:rPr>
              <w:t>分，未配备项目负责人，则此项不得分。</w:t>
            </w:r>
          </w:p>
          <w:p>
            <w:pPr>
              <w:adjustRightInd w:val="0"/>
              <w:snapToGrid w:val="0"/>
              <w:spacing w:line="360" w:lineRule="auto"/>
              <w:rPr>
                <w:rFonts w:hint="eastAsia" w:ascii="宋体" w:hAnsi="宋体" w:cs="宋体"/>
                <w:szCs w:val="21"/>
              </w:rPr>
            </w:pPr>
            <w:r>
              <w:rPr>
                <w:rFonts w:hint="eastAsia" w:ascii="宋体" w:hAnsi="宋体" w:cs="宋体"/>
                <w:szCs w:val="21"/>
              </w:rPr>
              <w:t>每提供一个项目负责人具备的信息化领域证书（如：高级工程师职称，CISP注册信息安全管理人员，</w:t>
            </w:r>
            <w:bookmarkStart w:id="819" w:name="_GoBack"/>
            <w:bookmarkEnd w:id="819"/>
            <w:r>
              <w:rPr>
                <w:rFonts w:hint="eastAsia" w:ascii="宋体" w:hAnsi="宋体" w:cs="宋体"/>
                <w:szCs w:val="21"/>
              </w:rPr>
              <w:t>网络工程师等）得</w:t>
            </w:r>
            <w:r>
              <w:rPr>
                <w:rFonts w:ascii="宋体" w:hAnsi="宋体" w:cs="宋体"/>
                <w:szCs w:val="21"/>
              </w:rPr>
              <w:t>2</w:t>
            </w:r>
            <w:r>
              <w:rPr>
                <w:rFonts w:hint="eastAsia" w:ascii="宋体" w:hAnsi="宋体" w:cs="宋体"/>
                <w:szCs w:val="21"/>
              </w:rPr>
              <w:t>分，总分满分</w:t>
            </w:r>
            <w:r>
              <w:rPr>
                <w:rFonts w:hint="eastAsia" w:ascii="宋体" w:hAnsi="宋体" w:cs="宋体"/>
                <w:szCs w:val="21"/>
                <w:lang w:val="en-US" w:eastAsia="zh-CN"/>
              </w:rPr>
              <w:t>6</w:t>
            </w:r>
            <w:r>
              <w:rPr>
                <w:rFonts w:hint="eastAsia" w:ascii="宋体" w:hAnsi="宋体" w:cs="宋体"/>
                <w:szCs w:val="21"/>
              </w:rPr>
              <w:t>分。</w:t>
            </w:r>
          </w:p>
          <w:p>
            <w:pPr>
              <w:adjustRightInd w:val="0"/>
              <w:snapToGrid w:val="0"/>
              <w:spacing w:line="360" w:lineRule="auto"/>
              <w:rPr>
                <w:rFonts w:hint="eastAsia" w:ascii="宋体" w:hAnsi="宋体" w:cs="宋体"/>
                <w:szCs w:val="21"/>
              </w:rPr>
            </w:pPr>
            <w:r>
              <w:rPr>
                <w:rFonts w:hint="eastAsia" w:ascii="宋体" w:hAnsi="宋体" w:cs="宋体"/>
                <w:szCs w:val="21"/>
              </w:rPr>
              <w:t>（2）项目团队成员（满分</w:t>
            </w:r>
            <w:r>
              <w:rPr>
                <w:rFonts w:ascii="宋体" w:hAnsi="宋体" w:cs="宋体"/>
                <w:szCs w:val="21"/>
              </w:rPr>
              <w:t>10</w:t>
            </w:r>
            <w:r>
              <w:rPr>
                <w:rFonts w:hint="eastAsia" w:ascii="宋体" w:hAnsi="宋体" w:cs="宋体"/>
                <w:szCs w:val="21"/>
              </w:rPr>
              <w:t>分）</w:t>
            </w:r>
          </w:p>
          <w:p>
            <w:pPr>
              <w:adjustRightInd w:val="0"/>
              <w:snapToGrid w:val="0"/>
              <w:spacing w:line="360" w:lineRule="auto"/>
              <w:rPr>
                <w:rFonts w:hint="eastAsia" w:ascii="宋体" w:hAnsi="宋体" w:cs="宋体"/>
                <w:szCs w:val="21"/>
              </w:rPr>
            </w:pPr>
            <w:r>
              <w:rPr>
                <w:rFonts w:hint="eastAsia" w:ascii="宋体" w:hAnsi="宋体" w:cs="宋体"/>
                <w:szCs w:val="21"/>
              </w:rPr>
              <w:t>根据供应商提供的人员情况进行评审，维护团队配置及响应服务时间应当按照招标文件服务要求，驻场人员不少于3人，且驻场人员具备信息技术服务服务能力。</w:t>
            </w:r>
          </w:p>
          <w:p>
            <w:pPr>
              <w:adjustRightInd w:val="0"/>
              <w:snapToGrid w:val="0"/>
              <w:spacing w:line="360" w:lineRule="auto"/>
              <w:rPr>
                <w:rFonts w:hint="eastAsia" w:ascii="宋体" w:hAnsi="宋体" w:cs="宋体"/>
                <w:szCs w:val="21"/>
              </w:rPr>
            </w:pPr>
            <w:r>
              <w:rPr>
                <w:rFonts w:hint="eastAsia" w:ascii="宋体" w:hAnsi="宋体" w:cs="宋体"/>
                <w:szCs w:val="21"/>
              </w:rPr>
              <w:t>第一个档次：人员配置合理得当，职责分工明确，能充分满足项目要求，团队人员工作经验完全满足需求的，得</w:t>
            </w:r>
            <w:r>
              <w:rPr>
                <w:rFonts w:ascii="宋体" w:hAnsi="宋体" w:cs="宋体"/>
                <w:szCs w:val="21"/>
              </w:rPr>
              <w:t>10</w:t>
            </w:r>
            <w:r>
              <w:rPr>
                <w:rFonts w:hint="eastAsia" w:ascii="宋体" w:hAnsi="宋体" w:cs="宋体"/>
                <w:szCs w:val="21"/>
              </w:rPr>
              <w:t>分；</w:t>
            </w:r>
          </w:p>
          <w:p>
            <w:pPr>
              <w:adjustRightInd w:val="0"/>
              <w:snapToGrid w:val="0"/>
              <w:spacing w:line="360" w:lineRule="auto"/>
              <w:rPr>
                <w:rFonts w:hint="eastAsia" w:ascii="宋体" w:hAnsi="宋体" w:cs="宋体"/>
                <w:szCs w:val="21"/>
              </w:rPr>
            </w:pPr>
            <w:r>
              <w:rPr>
                <w:rFonts w:hint="eastAsia" w:ascii="宋体" w:hAnsi="宋体" w:cs="宋体"/>
                <w:szCs w:val="21"/>
              </w:rPr>
              <w:t>第二个档次：人员配置较为合理，职责分工较为明确，能满足项目要求，团队人员工作经验满足采购需求的，得</w:t>
            </w:r>
            <w:r>
              <w:rPr>
                <w:rFonts w:ascii="宋体" w:hAnsi="宋体" w:cs="宋体"/>
                <w:szCs w:val="21"/>
              </w:rPr>
              <w:t>7</w:t>
            </w:r>
            <w:r>
              <w:rPr>
                <w:rFonts w:hint="eastAsia" w:ascii="宋体" w:hAnsi="宋体" w:cs="宋体"/>
                <w:szCs w:val="21"/>
              </w:rPr>
              <w:t>分；</w:t>
            </w:r>
          </w:p>
          <w:p>
            <w:pPr>
              <w:adjustRightInd w:val="0"/>
              <w:snapToGrid w:val="0"/>
              <w:spacing w:line="360" w:lineRule="auto"/>
              <w:rPr>
                <w:rFonts w:hint="eastAsia" w:ascii="宋体" w:hAnsi="宋体" w:cs="宋体"/>
                <w:szCs w:val="21"/>
              </w:rPr>
            </w:pPr>
            <w:r>
              <w:rPr>
                <w:rFonts w:hint="eastAsia" w:ascii="宋体" w:hAnsi="宋体" w:cs="宋体"/>
                <w:szCs w:val="21"/>
              </w:rPr>
              <w:t>第三个档次：人员配备基本合理，基本满足项目要求、职责分工不明确、团队人员工作经验基本满足采购需求的，得</w:t>
            </w:r>
            <w:r>
              <w:rPr>
                <w:rFonts w:ascii="宋体" w:hAnsi="宋体" w:cs="宋体"/>
                <w:szCs w:val="21"/>
              </w:rPr>
              <w:t>5</w:t>
            </w:r>
            <w:r>
              <w:rPr>
                <w:rFonts w:hint="eastAsia" w:ascii="宋体" w:hAnsi="宋体" w:cs="宋体"/>
                <w:szCs w:val="21"/>
              </w:rPr>
              <w:t>分；</w:t>
            </w:r>
          </w:p>
          <w:p>
            <w:pPr>
              <w:adjustRightInd w:val="0"/>
              <w:snapToGrid w:val="0"/>
              <w:spacing w:line="360" w:lineRule="auto"/>
              <w:rPr>
                <w:rFonts w:hint="eastAsia" w:ascii="宋体" w:hAnsi="宋体" w:cs="宋体"/>
                <w:szCs w:val="21"/>
              </w:rPr>
            </w:pPr>
            <w:r>
              <w:rPr>
                <w:rFonts w:hint="eastAsia" w:ascii="宋体" w:hAnsi="宋体" w:cs="宋体"/>
                <w:szCs w:val="21"/>
              </w:rPr>
              <w:t>第四个档次：人员配备不合理，不满足项目要求、职责分工不明确、团队人员工作经验不能满足项目需求的，得</w:t>
            </w:r>
            <w:r>
              <w:rPr>
                <w:rFonts w:ascii="宋体" w:hAnsi="宋体" w:cs="宋体"/>
                <w:szCs w:val="21"/>
              </w:rPr>
              <w:t>3</w:t>
            </w:r>
            <w:r>
              <w:rPr>
                <w:rFonts w:hint="eastAsia" w:ascii="宋体" w:hAnsi="宋体" w:cs="宋体"/>
                <w:szCs w:val="21"/>
              </w:rPr>
              <w:t>分；</w:t>
            </w:r>
          </w:p>
          <w:p>
            <w:pPr>
              <w:adjustRightInd w:val="0"/>
              <w:snapToGrid w:val="0"/>
              <w:spacing w:line="360" w:lineRule="auto"/>
              <w:rPr>
                <w:rFonts w:hint="eastAsia" w:ascii="宋体" w:hAnsi="宋体" w:cs="宋体"/>
                <w:szCs w:val="21"/>
              </w:rPr>
            </w:pPr>
            <w:r>
              <w:rPr>
                <w:rFonts w:hint="eastAsia" w:ascii="宋体" w:hAnsi="宋体" w:cs="宋体"/>
                <w:szCs w:val="21"/>
              </w:rPr>
              <w:t>第五个档次：无人员配备的得0分。</w:t>
            </w:r>
          </w:p>
          <w:p>
            <w:pPr>
              <w:adjustRightInd w:val="0"/>
              <w:snapToGrid w:val="0"/>
              <w:spacing w:line="360" w:lineRule="auto"/>
            </w:pPr>
            <w:r>
              <w:rPr>
                <w:rFonts w:hint="eastAsia" w:ascii="宋体" w:hAnsi="宋体" w:cs="宋体"/>
                <w:szCs w:val="21"/>
              </w:rPr>
              <w:t>注：须按附件要求提供相应的证明材料，否则评委有权降档评分或视为瑕疵或缺陷。注：本项得分=（1）+（2），须提供相关资质证书复印件、人员的学历证书、在本单位的正式劳动合同和社保证明等证明材料加盖公章。相应证明材料应清晰可辨，未提供或不明确或不清晰的不予认可。</w:t>
            </w:r>
          </w:p>
        </w:tc>
      </w:tr>
    </w:tbl>
    <w:p>
      <w:pPr>
        <w:adjustRightInd w:val="0"/>
        <w:snapToGrid w:val="0"/>
        <w:spacing w:line="360" w:lineRule="auto"/>
        <w:rPr>
          <w:rFonts w:ascii="宋体" w:hAnsi="宋体" w:cs="宋体"/>
          <w:color w:val="000000"/>
        </w:rPr>
      </w:pPr>
    </w:p>
    <w:p>
      <w:pPr>
        <w:pStyle w:val="4"/>
        <w:keepLines w:val="0"/>
        <w:tabs>
          <w:tab w:val="left" w:pos="420"/>
          <w:tab w:val="left" w:pos="6090"/>
        </w:tabs>
        <w:adjustRightInd w:val="0"/>
        <w:snapToGrid w:val="0"/>
        <w:spacing w:before="0" w:after="0"/>
        <w:jc w:val="left"/>
        <w:textAlignment w:val="baseline"/>
        <w:rPr>
          <w:rFonts w:ascii="宋体" w:hAnsi="宋体" w:cs="宋体"/>
          <w:b w:val="0"/>
          <w:bCs w:val="0"/>
          <w:color w:val="000000"/>
        </w:rPr>
      </w:pPr>
      <w:bookmarkStart w:id="718" w:name="_Toc18655"/>
      <w:bookmarkStart w:id="719" w:name="_Toc27739"/>
      <w:bookmarkStart w:id="720" w:name="_Toc29995"/>
      <w:bookmarkStart w:id="721" w:name="_Toc10651"/>
      <w:bookmarkStart w:id="722" w:name="_Toc19052"/>
      <w:r>
        <w:rPr>
          <w:rFonts w:hint="eastAsia" w:ascii="宋体" w:hAnsi="宋体" w:cs="宋体"/>
          <w:b w:val="0"/>
          <w:bCs w:val="0"/>
          <w:color w:val="000000"/>
        </w:rPr>
        <w:t>一、</w:t>
      </w:r>
      <w:r>
        <w:rPr>
          <w:rFonts w:hint="eastAsia" w:ascii="宋体" w:hAnsi="宋体" w:cs="宋体"/>
          <w:bCs w:val="0"/>
          <w:color w:val="000000"/>
        </w:rPr>
        <w:t>磋商方法</w:t>
      </w:r>
      <w:bookmarkEnd w:id="717"/>
      <w:bookmarkEnd w:id="718"/>
      <w:bookmarkEnd w:id="719"/>
      <w:bookmarkEnd w:id="720"/>
      <w:bookmarkEnd w:id="721"/>
      <w:bookmarkEnd w:id="722"/>
    </w:p>
    <w:p>
      <w:pPr>
        <w:pStyle w:val="23"/>
        <w:tabs>
          <w:tab w:val="left" w:pos="540"/>
        </w:tabs>
        <w:adjustRightInd w:val="0"/>
        <w:snapToGrid w:val="0"/>
        <w:spacing w:line="360" w:lineRule="auto"/>
        <w:ind w:firstLine="422" w:firstLineChars="200"/>
        <w:rPr>
          <w:rFonts w:ascii="宋体" w:hAnsi="宋体" w:eastAsia="宋体" w:cs="宋体"/>
          <w:color w:val="000000"/>
          <w:sz w:val="21"/>
          <w:szCs w:val="21"/>
        </w:rPr>
      </w:pPr>
      <w:r>
        <w:rPr>
          <w:rFonts w:hint="eastAsia" w:ascii="宋体" w:hAnsi="宋体" w:eastAsia="宋体" w:cs="宋体"/>
          <w:b/>
          <w:bCs/>
          <w:color w:val="000000"/>
          <w:sz w:val="21"/>
          <w:szCs w:val="21"/>
        </w:rPr>
        <w:t>本次磋商采用综合评分法。</w:t>
      </w:r>
      <w:r>
        <w:rPr>
          <w:rFonts w:hint="eastAsia" w:ascii="宋体" w:hAnsi="宋体" w:eastAsia="宋体" w:cs="宋体"/>
          <w:color w:val="000000"/>
          <w:kern w:val="2"/>
          <w:sz w:val="21"/>
          <w:szCs w:val="21"/>
        </w:rPr>
        <w:t>磋商小组将根据评审办法计算出各供应商的总得分，按总得分由高到低推荐成交候选供应商；总得分相同的，按最后报价由低到高顺序排列，最后报价也相同的，按技术部分得分高低顺序排列。</w:t>
      </w:r>
    </w:p>
    <w:p>
      <w:pPr>
        <w:pStyle w:val="4"/>
        <w:keepLines w:val="0"/>
        <w:tabs>
          <w:tab w:val="left" w:pos="420"/>
          <w:tab w:val="left" w:pos="6090"/>
        </w:tabs>
        <w:adjustRightInd w:val="0"/>
        <w:snapToGrid w:val="0"/>
        <w:spacing w:before="0" w:after="0"/>
        <w:jc w:val="left"/>
        <w:textAlignment w:val="baseline"/>
        <w:rPr>
          <w:rFonts w:ascii="宋体" w:hAnsi="宋体" w:cs="宋体"/>
          <w:bCs w:val="0"/>
          <w:color w:val="000000"/>
        </w:rPr>
      </w:pPr>
      <w:bookmarkStart w:id="723" w:name="_Toc14208"/>
      <w:bookmarkStart w:id="724" w:name="_Toc34335313"/>
      <w:bookmarkStart w:id="725" w:name="_Toc10911"/>
      <w:bookmarkStart w:id="726" w:name="_Toc7708"/>
      <w:bookmarkStart w:id="727" w:name="_Toc18472"/>
      <w:bookmarkStart w:id="728" w:name="_Toc12383"/>
      <w:r>
        <w:rPr>
          <w:rFonts w:hint="eastAsia" w:ascii="宋体" w:hAnsi="宋体" w:cs="宋体"/>
          <w:bCs w:val="0"/>
          <w:color w:val="000000"/>
        </w:rPr>
        <w:t>二、评审标准</w:t>
      </w:r>
      <w:bookmarkEnd w:id="723"/>
      <w:bookmarkEnd w:id="724"/>
      <w:bookmarkEnd w:id="725"/>
      <w:bookmarkEnd w:id="726"/>
      <w:bookmarkEnd w:id="727"/>
      <w:bookmarkEnd w:id="728"/>
    </w:p>
    <w:p>
      <w:pPr>
        <w:adjustRightInd w:val="0"/>
        <w:snapToGrid w:val="0"/>
        <w:spacing w:line="360" w:lineRule="auto"/>
        <w:ind w:firstLine="422" w:firstLineChars="200"/>
        <w:outlineLvl w:val="2"/>
        <w:rPr>
          <w:rFonts w:ascii="宋体" w:hAnsi="宋体" w:cs="宋体"/>
          <w:b/>
          <w:color w:val="000000"/>
          <w:kern w:val="0"/>
          <w:szCs w:val="21"/>
        </w:rPr>
      </w:pPr>
      <w:bookmarkStart w:id="729" w:name="_Toc3323"/>
      <w:bookmarkStart w:id="730" w:name="_Toc34335314"/>
      <w:bookmarkStart w:id="731" w:name="_Toc34821166"/>
      <w:bookmarkStart w:id="732" w:name="_Toc8109"/>
      <w:r>
        <w:rPr>
          <w:rFonts w:hint="eastAsia" w:ascii="宋体" w:hAnsi="宋体" w:cs="宋体"/>
          <w:b/>
          <w:color w:val="000000"/>
          <w:kern w:val="0"/>
          <w:szCs w:val="21"/>
        </w:rPr>
        <w:t>1.初步评审标准</w:t>
      </w:r>
      <w:bookmarkEnd w:id="729"/>
      <w:bookmarkEnd w:id="730"/>
      <w:bookmarkEnd w:id="731"/>
      <w:bookmarkEnd w:id="732"/>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1.1 资格评审标准：依据法律法规和磋商文件的规定，对响应文件中的资格证明文件进行审查，见“磋商方法前附表”。</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1.2 符合性评审标准：依据磋商文件的规定，从响应文件的有效性、完整性和对磋商文件的响应程度进行审查，见“磋商方法前附表”。</w:t>
      </w:r>
    </w:p>
    <w:p>
      <w:pPr>
        <w:adjustRightInd w:val="0"/>
        <w:snapToGrid w:val="0"/>
        <w:spacing w:line="360" w:lineRule="auto"/>
        <w:ind w:firstLine="422" w:firstLineChars="200"/>
        <w:outlineLvl w:val="2"/>
        <w:rPr>
          <w:rFonts w:ascii="宋体" w:hAnsi="宋体" w:cs="宋体"/>
          <w:b/>
          <w:color w:val="000000"/>
          <w:kern w:val="0"/>
          <w:szCs w:val="21"/>
        </w:rPr>
      </w:pPr>
      <w:bookmarkStart w:id="733" w:name="_Toc432106530"/>
      <w:bookmarkStart w:id="734" w:name="_Toc432194880"/>
      <w:bookmarkStart w:id="735" w:name="_Toc28400"/>
      <w:bookmarkStart w:id="736" w:name="_Toc34335315"/>
      <w:bookmarkStart w:id="737" w:name="_Toc34821167"/>
      <w:bookmarkStart w:id="738" w:name="_Toc321836408"/>
      <w:bookmarkStart w:id="739" w:name="_Toc15326"/>
      <w:bookmarkStart w:id="740" w:name="_Toc438396781"/>
      <w:r>
        <w:rPr>
          <w:rFonts w:hint="eastAsia" w:ascii="宋体" w:hAnsi="宋体" w:cs="宋体"/>
          <w:b/>
          <w:color w:val="000000"/>
          <w:kern w:val="0"/>
          <w:szCs w:val="21"/>
        </w:rPr>
        <w:t>2.分值构成与评分标准</w:t>
      </w:r>
      <w:bookmarkEnd w:id="733"/>
      <w:bookmarkEnd w:id="734"/>
      <w:bookmarkEnd w:id="735"/>
      <w:bookmarkEnd w:id="736"/>
      <w:bookmarkEnd w:id="737"/>
      <w:bookmarkEnd w:id="738"/>
      <w:bookmarkEnd w:id="739"/>
      <w:bookmarkEnd w:id="740"/>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2.1 分值构成</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（1）报价部分：见“磋商方法前附表”；</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（2）技术部分：见“磋商方法前附表”；</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（3）商务部分：见“磋商方法前附表”。</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2.2 基准价计算方法：见磋商方法前附表。</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2.3 评分标准</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按磋商文件中规定的评标方法和标准，对资格评审和符合性评审合格的响应文件进行商务和技术评估，综合比较与评价。</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（1）报价部分评分标准：见“磋商方法前附表”；</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（2）技术部分评分标准：见“磋商方法前附表”；</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（3）商务部分评分标准：见“磋商方法前附表”。</w:t>
      </w:r>
    </w:p>
    <w:p>
      <w:pPr>
        <w:pStyle w:val="4"/>
        <w:keepLines w:val="0"/>
        <w:tabs>
          <w:tab w:val="left" w:pos="420"/>
          <w:tab w:val="left" w:pos="6090"/>
        </w:tabs>
        <w:adjustRightInd w:val="0"/>
        <w:snapToGrid w:val="0"/>
        <w:spacing w:before="0" w:after="0"/>
        <w:jc w:val="left"/>
        <w:textAlignment w:val="baseline"/>
        <w:rPr>
          <w:rFonts w:ascii="宋体" w:hAnsi="宋体" w:cs="宋体"/>
          <w:bCs w:val="0"/>
          <w:color w:val="000000"/>
        </w:rPr>
      </w:pPr>
      <w:bookmarkStart w:id="741" w:name="_Toc432106531"/>
      <w:bookmarkStart w:id="742" w:name="_Toc28403"/>
      <w:bookmarkStart w:id="743" w:name="_Toc34335316"/>
      <w:bookmarkStart w:id="744" w:name="_Toc432194881"/>
      <w:bookmarkStart w:id="745" w:name="_Toc321836409"/>
      <w:bookmarkStart w:id="746" w:name="_Toc27091"/>
      <w:bookmarkStart w:id="747" w:name="_Toc438396782"/>
      <w:bookmarkStart w:id="748" w:name="_Toc17700"/>
      <w:bookmarkStart w:id="749" w:name="_Toc25192"/>
      <w:bookmarkStart w:id="750" w:name="_Toc20691"/>
      <w:r>
        <w:rPr>
          <w:rFonts w:hint="eastAsia" w:ascii="宋体" w:hAnsi="宋体" w:cs="宋体"/>
          <w:bCs w:val="0"/>
          <w:color w:val="000000"/>
        </w:rPr>
        <w:t>三、磋商程序</w:t>
      </w:r>
      <w:bookmarkEnd w:id="741"/>
      <w:bookmarkEnd w:id="742"/>
      <w:bookmarkEnd w:id="743"/>
      <w:bookmarkEnd w:id="744"/>
      <w:bookmarkEnd w:id="745"/>
      <w:bookmarkEnd w:id="746"/>
      <w:bookmarkEnd w:id="747"/>
      <w:bookmarkEnd w:id="748"/>
      <w:bookmarkEnd w:id="749"/>
      <w:bookmarkEnd w:id="750"/>
    </w:p>
    <w:p>
      <w:pPr>
        <w:adjustRightInd w:val="0"/>
        <w:snapToGrid w:val="0"/>
        <w:spacing w:line="360" w:lineRule="auto"/>
        <w:ind w:firstLine="422" w:firstLineChars="200"/>
        <w:outlineLvl w:val="2"/>
        <w:rPr>
          <w:rFonts w:ascii="宋体" w:hAnsi="宋体" w:cs="宋体"/>
          <w:b/>
          <w:color w:val="000000"/>
          <w:kern w:val="0"/>
          <w:szCs w:val="21"/>
        </w:rPr>
      </w:pPr>
      <w:bookmarkStart w:id="751" w:name="_Toc432106532"/>
      <w:bookmarkStart w:id="752" w:name="_Toc8196"/>
      <w:bookmarkStart w:id="753" w:name="_Toc9048"/>
      <w:bookmarkStart w:id="754" w:name="_Toc34335317"/>
      <w:bookmarkStart w:id="755" w:name="_Toc321836410"/>
      <w:bookmarkStart w:id="756" w:name="_Toc34821169"/>
      <w:bookmarkStart w:id="757" w:name="_Toc438396783"/>
      <w:bookmarkStart w:id="758" w:name="_Toc432194882"/>
      <w:r>
        <w:rPr>
          <w:rFonts w:hint="eastAsia" w:ascii="宋体" w:hAnsi="宋体" w:cs="宋体"/>
          <w:b/>
          <w:color w:val="000000"/>
          <w:kern w:val="0"/>
          <w:szCs w:val="21"/>
        </w:rPr>
        <w:t>1.初步评审</w:t>
      </w:r>
      <w:bookmarkEnd w:id="751"/>
      <w:bookmarkEnd w:id="752"/>
      <w:bookmarkEnd w:id="753"/>
      <w:bookmarkEnd w:id="754"/>
      <w:bookmarkEnd w:id="755"/>
      <w:bookmarkEnd w:id="756"/>
      <w:bookmarkEnd w:id="757"/>
      <w:bookmarkEnd w:id="758"/>
    </w:p>
    <w:p>
      <w:pPr>
        <w:pStyle w:val="20"/>
        <w:tabs>
          <w:tab w:val="left" w:pos="2472"/>
        </w:tabs>
        <w:snapToGrid w:val="0"/>
        <w:spacing w:line="360" w:lineRule="auto"/>
        <w:ind w:firstLine="420" w:firstLineChars="200"/>
        <w:jc w:val="both"/>
        <w:rPr>
          <w:rFonts w:hAnsi="宋体" w:cs="宋体"/>
          <w:color w:val="000000"/>
          <w:kern w:val="0"/>
        </w:rPr>
      </w:pPr>
      <w:r>
        <w:rPr>
          <w:rFonts w:hint="eastAsia" w:hAnsi="宋体" w:cs="宋体"/>
          <w:color w:val="000000"/>
        </w:rPr>
        <w:t>1.1 磋商小组依据本章评审标准第1.1项、第1.2项规定的标准对响应文件进行初步评审。</w:t>
      </w:r>
      <w:r>
        <w:rPr>
          <w:rFonts w:hint="eastAsia" w:hAnsi="宋体" w:cs="宋体"/>
          <w:color w:val="000000"/>
          <w:kern w:val="0"/>
        </w:rPr>
        <w:t>有一项不符合磋商标准的，不通过初步审查，不再参与磋商。</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kern w:val="0"/>
          <w:szCs w:val="21"/>
        </w:rPr>
        <w:t>1.2 磋商小组成员要依法独立审查，并对审查意见承担个人责任。磋商小组成员对需要共同认定的事项存在争议的，按照少数服从多数的原则做出结论。</w:t>
      </w:r>
    </w:p>
    <w:p>
      <w:pPr>
        <w:adjustRightInd w:val="0"/>
        <w:snapToGrid w:val="0"/>
        <w:spacing w:line="360" w:lineRule="auto"/>
        <w:ind w:firstLine="422" w:firstLineChars="200"/>
        <w:outlineLvl w:val="2"/>
        <w:rPr>
          <w:rFonts w:ascii="宋体" w:hAnsi="宋体" w:cs="宋体"/>
          <w:b/>
          <w:color w:val="000000"/>
          <w:kern w:val="0"/>
          <w:szCs w:val="21"/>
        </w:rPr>
      </w:pPr>
      <w:bookmarkStart w:id="759" w:name="_Toc28531"/>
      <w:bookmarkStart w:id="760" w:name="_Toc34821170"/>
      <w:bookmarkStart w:id="761" w:name="_Toc432106533"/>
      <w:bookmarkStart w:id="762" w:name="_Toc2991"/>
      <w:bookmarkStart w:id="763" w:name="_Toc438396784"/>
      <w:bookmarkStart w:id="764" w:name="_Toc432194883"/>
      <w:bookmarkStart w:id="765" w:name="_Toc34335318"/>
      <w:r>
        <w:rPr>
          <w:rFonts w:hint="eastAsia" w:ascii="宋体" w:hAnsi="宋体" w:cs="宋体"/>
          <w:b/>
          <w:color w:val="000000"/>
          <w:kern w:val="0"/>
          <w:szCs w:val="21"/>
        </w:rPr>
        <w:t>2.磋商及最后报价</w:t>
      </w:r>
      <w:bookmarkEnd w:id="759"/>
      <w:bookmarkEnd w:id="760"/>
      <w:bookmarkEnd w:id="761"/>
      <w:bookmarkEnd w:id="762"/>
      <w:bookmarkEnd w:id="763"/>
      <w:bookmarkEnd w:id="764"/>
      <w:bookmarkEnd w:id="765"/>
    </w:p>
    <w:p>
      <w:pPr>
        <w:widowControl/>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2.1 磋商小组所有成员集中与通过初步审查的单一供应商分别进行磋商</w:t>
      </w:r>
      <w:r>
        <w:rPr>
          <w:rFonts w:hint="eastAsia" w:ascii="宋体" w:hAnsi="宋体" w:cs="宋体"/>
          <w:color w:val="000000"/>
          <w:szCs w:val="21"/>
        </w:rPr>
        <w:t>，并给予所有参加磋商的供应商平等的磋商机会。</w:t>
      </w:r>
      <w:r>
        <w:rPr>
          <w:rFonts w:hint="eastAsia" w:ascii="宋体" w:hAnsi="宋体" w:cs="宋体"/>
          <w:color w:val="000000"/>
          <w:kern w:val="0"/>
          <w:szCs w:val="21"/>
        </w:rPr>
        <w:t>在磋商中，磋商的任何一方不得透露与磋商有关的其他供应商的技术资料、价格、折扣和其他信息。</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 xml:space="preserve">2.2 </w:t>
      </w:r>
      <w:r>
        <w:rPr>
          <w:rFonts w:hint="eastAsia" w:ascii="宋体" w:hAnsi="宋体" w:cs="宋体"/>
          <w:color w:val="000000"/>
          <w:szCs w:val="21"/>
        </w:rPr>
        <w:t>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2.3 为有助于响应文件的详细审查、评价和比较，磋商小组可要求对供应商分别进行技术询问、澄清，有关要求和答复均现场进行。</w:t>
      </w:r>
    </w:p>
    <w:p>
      <w:pPr>
        <w:widowControl/>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2.4 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磋商小组要求供应商澄清、说明或者更正响应文件应当以书面形式作出。供应商的澄清、说明或者更正应当由法定代表人或其授权代表签字或者加盖公章。由授权代表签字的，应当附法定代表人授权书。供应商为自然人的，应当由本人签字并附身份证明。</w:t>
      </w:r>
    </w:p>
    <w:p>
      <w:pPr>
        <w:widowControl/>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2.5 磋商小组对供应商提交的澄清、说明有疑问的，可以要求供应商进一步澄清、说明。磋商小组要求供应商澄清、说明或者更正响应文件应当以书面形式作出。供应商的澄清、说明或者更正应当由法定代表人或其授权代表签字或者加盖公章。</w:t>
      </w:r>
    </w:p>
    <w:p>
      <w:pPr>
        <w:widowControl/>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2.6 磋商结束后，磋商小组将要求所有继续参加磋商的供应商在规定时间内提交最后报价，</w:t>
      </w:r>
      <w:r>
        <w:rPr>
          <w:rFonts w:hint="eastAsia" w:ascii="宋体" w:hAnsi="宋体" w:cs="宋体"/>
          <w:color w:val="000000"/>
          <w:szCs w:val="21"/>
        </w:rPr>
        <w:t>最后报价是供应商响应文件的有效组成部分。</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kern w:val="0"/>
          <w:szCs w:val="21"/>
        </w:rPr>
        <w:t xml:space="preserve">2.7 </w:t>
      </w:r>
      <w:r>
        <w:rPr>
          <w:rFonts w:hint="eastAsia" w:ascii="宋体" w:hAnsi="宋体" w:cs="宋体"/>
          <w:color w:val="000000"/>
          <w:szCs w:val="21"/>
        </w:rPr>
        <w:t>响应文件如果出现计算或表达上的错误，修正错误的原则如下：</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（1）响应文件中报价一览表内容与响应文件中相应内容不一致的，以报价一览表为准。</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（2）大写金额和小写金额不一致的，以大写金额为准；</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（3）单价金额小数点或者百分比有明显错位的，以报价一览表的总价为准，并修改单价；</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（4）总价金额与按单价汇总金额不一致的，以单价金额计算结果为准；</w:t>
      </w:r>
    </w:p>
    <w:p>
      <w:pPr>
        <w:pStyle w:val="20"/>
        <w:tabs>
          <w:tab w:val="left" w:pos="2472"/>
        </w:tabs>
        <w:snapToGrid w:val="0"/>
        <w:spacing w:line="360" w:lineRule="auto"/>
        <w:ind w:firstLine="420" w:firstLineChars="200"/>
        <w:rPr>
          <w:rFonts w:hAnsi="宋体" w:cs="宋体"/>
          <w:color w:val="000000"/>
        </w:rPr>
      </w:pPr>
      <w:r>
        <w:rPr>
          <w:rFonts w:hint="eastAsia" w:hAnsi="宋体" w:cs="宋体"/>
          <w:color w:val="000000"/>
        </w:rPr>
        <w:t>（5）对不同文字文本响应文件的解释发生异议的，以中文文本为准。</w:t>
      </w:r>
    </w:p>
    <w:p>
      <w:pPr>
        <w:widowControl/>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（6）同时出现两种以上不一致的，按照前款规定的顺序修正。按上述规定修正后的报价经供应商确认后对供应商起约束作用。如果供应商不确认修正后的报价，则其响应文件无效。</w:t>
      </w:r>
    </w:p>
    <w:p>
      <w:pPr>
        <w:widowControl/>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kern w:val="0"/>
          <w:szCs w:val="21"/>
        </w:rPr>
        <w:t>2.8 供</w:t>
      </w:r>
      <w:r>
        <w:rPr>
          <w:rFonts w:hint="eastAsia" w:ascii="宋体" w:hAnsi="宋体" w:cs="宋体"/>
          <w:color w:val="000000"/>
          <w:szCs w:val="21"/>
        </w:rPr>
        <w:t>应商不得哄抬报价，也不应低于成本价（或进价）报价。磋商小组认为供应商的最后报价明显低于其他通过初步审查供应商的最后报价，有可能影响服务质量或者不能诚信履约的，应当要求其在评审现场合理的时间内提供书面说明，必要时提交相关证明材料；供应商不能证明其报价合理性的，磋商小组应当将其响应文件作为无效处理。</w:t>
      </w:r>
    </w:p>
    <w:p>
      <w:pPr>
        <w:adjustRightInd w:val="0"/>
        <w:snapToGrid w:val="0"/>
        <w:spacing w:line="360" w:lineRule="auto"/>
        <w:ind w:firstLine="422" w:firstLineChars="200"/>
        <w:outlineLvl w:val="2"/>
        <w:rPr>
          <w:rFonts w:ascii="宋体" w:hAnsi="宋体" w:cs="宋体"/>
          <w:b/>
          <w:color w:val="000000"/>
          <w:kern w:val="0"/>
          <w:szCs w:val="21"/>
        </w:rPr>
      </w:pPr>
      <w:bookmarkStart w:id="766" w:name="_Toc432194884"/>
      <w:bookmarkStart w:id="767" w:name="_Toc34335319"/>
      <w:bookmarkStart w:id="768" w:name="_Toc432106534"/>
      <w:bookmarkStart w:id="769" w:name="_Toc21653"/>
      <w:bookmarkStart w:id="770" w:name="_Toc438396785"/>
      <w:bookmarkStart w:id="771" w:name="_Toc6568"/>
      <w:bookmarkStart w:id="772" w:name="_Toc34821171"/>
      <w:r>
        <w:rPr>
          <w:rFonts w:hint="eastAsia" w:ascii="宋体" w:hAnsi="宋体" w:cs="宋体"/>
          <w:b/>
          <w:color w:val="000000"/>
          <w:kern w:val="0"/>
          <w:szCs w:val="21"/>
        </w:rPr>
        <w:t>3.评分</w:t>
      </w:r>
      <w:bookmarkEnd w:id="766"/>
      <w:bookmarkEnd w:id="767"/>
      <w:bookmarkEnd w:id="768"/>
      <w:bookmarkEnd w:id="769"/>
      <w:bookmarkEnd w:id="770"/>
      <w:bookmarkEnd w:id="771"/>
      <w:bookmarkEnd w:id="772"/>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 xml:space="preserve">3.1 </w:t>
      </w:r>
      <w:r>
        <w:rPr>
          <w:rFonts w:hint="eastAsia" w:hAnsi="宋体" w:cs="宋体"/>
          <w:color w:val="000000"/>
          <w:kern w:val="0"/>
        </w:rPr>
        <w:t>磋商小组</w:t>
      </w:r>
      <w:r>
        <w:rPr>
          <w:rFonts w:hint="eastAsia" w:hAnsi="宋体" w:cs="宋体"/>
          <w:color w:val="000000"/>
        </w:rPr>
        <w:t>按本章评审标准中第2款规定的量化因素和分值进行打分，并计算出供应商的磋商总得分。对其他需要借助专业知识评判的主观评分项，应当严格按照评分细则公正评分。</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（1）按本章前附表的规定对报价部分计算出得分F1；</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（2）按本章前附表的规定对商务部分评分，得分F2；</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（3）按本章前附表的规定对技术部分评分，得分F3；</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（4）按本章前附表的规定计算总得分。</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3.2 商务部分（F2）和技术部分（F3）得分由磋商小组成员独立评分，</w:t>
      </w:r>
      <w:r>
        <w:rPr>
          <w:rFonts w:hint="eastAsia" w:ascii="宋体" w:hAnsi="宋体" w:cs="宋体"/>
          <w:bCs/>
          <w:color w:val="000000"/>
          <w:szCs w:val="21"/>
        </w:rPr>
        <w:t>供应商各项评分因素得分为该项因素各评委评分的算术平均值（保留小数点后两位）</w:t>
      </w:r>
      <w:r>
        <w:rPr>
          <w:rFonts w:hint="eastAsia" w:ascii="宋体" w:hAnsi="宋体" w:cs="宋体"/>
          <w:color w:val="000000"/>
          <w:szCs w:val="21"/>
        </w:rPr>
        <w:t>，小数点后第三位“四舍五入”。</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3.3 磋商小组成员要依法独立评审，并对评审意见承担个人责任。磋商小组成员对需要共同认定的事项存在争议的，按照少数服从多数的原则做出结论。持不同意见的磋商小组成员应当在评审报告上签署不同意见并说明理由，否则视为同意。</w:t>
      </w:r>
    </w:p>
    <w:p>
      <w:pPr>
        <w:adjustRightInd w:val="0"/>
        <w:snapToGrid w:val="0"/>
        <w:spacing w:line="360" w:lineRule="auto"/>
        <w:ind w:firstLine="422" w:firstLineChars="200"/>
        <w:outlineLvl w:val="2"/>
        <w:rPr>
          <w:rFonts w:ascii="宋体" w:hAnsi="宋体" w:cs="宋体"/>
          <w:b/>
          <w:color w:val="000000"/>
          <w:kern w:val="0"/>
          <w:szCs w:val="21"/>
        </w:rPr>
      </w:pPr>
      <w:bookmarkStart w:id="773" w:name="_Toc34335320"/>
      <w:bookmarkStart w:id="774" w:name="_Toc438396786"/>
      <w:bookmarkStart w:id="775" w:name="_Toc18864"/>
      <w:bookmarkStart w:id="776" w:name="_Toc19341"/>
      <w:bookmarkStart w:id="777" w:name="_Toc321836413"/>
      <w:bookmarkStart w:id="778" w:name="_Toc432194885"/>
      <w:bookmarkStart w:id="779" w:name="_Toc432106535"/>
      <w:bookmarkStart w:id="780" w:name="_Toc34821172"/>
      <w:r>
        <w:rPr>
          <w:rFonts w:hint="eastAsia" w:ascii="宋体" w:hAnsi="宋体" w:cs="宋体"/>
          <w:b/>
          <w:color w:val="000000"/>
          <w:kern w:val="0"/>
          <w:szCs w:val="21"/>
        </w:rPr>
        <w:t>4.磋商结果</w:t>
      </w:r>
      <w:bookmarkEnd w:id="773"/>
      <w:bookmarkEnd w:id="774"/>
      <w:bookmarkEnd w:id="775"/>
      <w:bookmarkEnd w:id="776"/>
      <w:bookmarkEnd w:id="777"/>
      <w:bookmarkEnd w:id="778"/>
      <w:bookmarkEnd w:id="779"/>
      <w:bookmarkEnd w:id="780"/>
    </w:p>
    <w:p>
      <w:pPr>
        <w:pStyle w:val="23"/>
        <w:tabs>
          <w:tab w:val="left" w:pos="540"/>
        </w:tabs>
        <w:adjustRightInd w:val="0"/>
        <w:snapToGrid w:val="0"/>
        <w:spacing w:line="360" w:lineRule="auto"/>
        <w:ind w:firstLine="420" w:firstLineChars="200"/>
        <w:rPr>
          <w:rFonts w:ascii="宋体" w:hAnsi="宋体" w:eastAsia="宋体" w:cs="宋体"/>
          <w:color w:val="000000"/>
          <w:sz w:val="21"/>
          <w:szCs w:val="21"/>
        </w:rPr>
      </w:pPr>
      <w:r>
        <w:rPr>
          <w:rFonts w:hint="eastAsia" w:ascii="宋体" w:hAnsi="宋体" w:eastAsia="宋体" w:cs="宋体"/>
          <w:bCs/>
          <w:color w:val="000000"/>
          <w:kern w:val="2"/>
          <w:sz w:val="21"/>
          <w:szCs w:val="21"/>
        </w:rPr>
        <w:t>4.1 磋商小组按总得</w:t>
      </w:r>
      <w:r>
        <w:rPr>
          <w:rFonts w:hint="eastAsia" w:ascii="宋体" w:hAnsi="宋体" w:eastAsia="宋体" w:cs="宋体"/>
          <w:color w:val="000000"/>
          <w:kern w:val="2"/>
          <w:sz w:val="21"/>
          <w:szCs w:val="21"/>
        </w:rPr>
        <w:t>分由高到低推荐成交候选供应商；总得分相同的，按最后报价由低到高顺序排列，最后报价也相同的，按技术部分得分高低顺序排列。</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4.2 采购人根据磋商小组提出的书面评审报告和推荐的成交候选供应商名单，确定成交供应商。</w:t>
      </w:r>
    </w:p>
    <w:bookmarkEnd w:id="501"/>
    <w:bookmarkEnd w:id="512"/>
    <w:p>
      <w:pPr>
        <w:pStyle w:val="4"/>
        <w:keepLines w:val="0"/>
        <w:tabs>
          <w:tab w:val="left" w:pos="420"/>
          <w:tab w:val="left" w:pos="6090"/>
        </w:tabs>
        <w:adjustRightInd w:val="0"/>
        <w:snapToGrid w:val="0"/>
        <w:spacing w:before="0" w:after="0"/>
        <w:jc w:val="left"/>
        <w:textAlignment w:val="baseline"/>
        <w:rPr>
          <w:rFonts w:ascii="宋体" w:hAnsi="宋体" w:cs="宋体"/>
          <w:color w:val="000000"/>
        </w:rPr>
      </w:pPr>
      <w:bookmarkStart w:id="781" w:name="_Toc13871"/>
      <w:bookmarkStart w:id="782" w:name="_Toc28655"/>
      <w:bookmarkStart w:id="783" w:name="_Toc24648"/>
      <w:bookmarkStart w:id="784" w:name="_Toc80867992"/>
      <w:bookmarkStart w:id="785" w:name="_Toc24302"/>
      <w:bookmarkStart w:id="786" w:name="_Toc87622705"/>
      <w:bookmarkStart w:id="787" w:name="_Toc34335321"/>
      <w:bookmarkStart w:id="788" w:name="_Toc20857"/>
      <w:r>
        <w:rPr>
          <w:rFonts w:hint="eastAsia" w:ascii="宋体" w:hAnsi="宋体" w:cs="宋体"/>
          <w:color w:val="000000"/>
        </w:rPr>
        <w:t>四、其它</w:t>
      </w:r>
      <w:bookmarkEnd w:id="781"/>
      <w:bookmarkEnd w:id="782"/>
      <w:bookmarkEnd w:id="783"/>
      <w:bookmarkEnd w:id="784"/>
      <w:bookmarkEnd w:id="785"/>
      <w:bookmarkEnd w:id="786"/>
      <w:bookmarkEnd w:id="787"/>
      <w:bookmarkEnd w:id="788"/>
    </w:p>
    <w:p>
      <w:pPr>
        <w:adjustRightInd w:val="0"/>
        <w:snapToGrid w:val="0"/>
        <w:spacing w:line="360" w:lineRule="auto"/>
        <w:ind w:firstLine="422" w:firstLineChars="200"/>
        <w:outlineLvl w:val="2"/>
        <w:rPr>
          <w:rFonts w:ascii="宋体" w:hAnsi="宋体" w:cs="宋体"/>
          <w:b/>
          <w:color w:val="000000"/>
          <w:kern w:val="0"/>
          <w:szCs w:val="21"/>
        </w:rPr>
      </w:pPr>
      <w:bookmarkStart w:id="789" w:name="_Toc87622706"/>
      <w:bookmarkStart w:id="790" w:name="_Toc478978877"/>
      <w:bookmarkStart w:id="791" w:name="_Toc21920"/>
      <w:bookmarkStart w:id="792" w:name="_Toc34335322"/>
      <w:bookmarkStart w:id="793" w:name="_Toc9579"/>
      <w:bookmarkStart w:id="794" w:name="_Toc34821174"/>
      <w:bookmarkStart w:id="795" w:name="_Toc80867993"/>
      <w:r>
        <w:rPr>
          <w:rFonts w:hint="eastAsia" w:ascii="宋体" w:hAnsi="宋体" w:cs="宋体"/>
          <w:b/>
          <w:color w:val="000000"/>
          <w:kern w:val="0"/>
          <w:szCs w:val="21"/>
        </w:rPr>
        <w:t>1.关于中小企业</w:t>
      </w:r>
      <w:bookmarkEnd w:id="789"/>
      <w:bookmarkEnd w:id="790"/>
      <w:bookmarkEnd w:id="791"/>
      <w:bookmarkEnd w:id="792"/>
      <w:bookmarkEnd w:id="793"/>
      <w:bookmarkEnd w:id="794"/>
      <w:bookmarkEnd w:id="795"/>
    </w:p>
    <w:p>
      <w:pPr>
        <w:pStyle w:val="20"/>
        <w:tabs>
          <w:tab w:val="left" w:pos="2472"/>
        </w:tabs>
        <w:snapToGrid w:val="0"/>
        <w:spacing w:line="360" w:lineRule="auto"/>
        <w:ind w:firstLine="420" w:firstLineChars="200"/>
        <w:jc w:val="both"/>
        <w:rPr>
          <w:rFonts w:hAnsi="宋体" w:cs="宋体"/>
          <w:color w:val="000000"/>
        </w:rPr>
      </w:pPr>
      <w:bookmarkStart w:id="796" w:name="_Toc34335323"/>
      <w:bookmarkStart w:id="797" w:name="_Toc34821175"/>
      <w:r>
        <w:rPr>
          <w:rFonts w:hint="eastAsia" w:hAnsi="宋体" w:cs="宋体"/>
          <w:color w:val="000000"/>
        </w:rPr>
        <w:t>1.1根据《关于印发&lt;政府采购促进中小企业发展管理办法&gt;的通知》（财库〔2020〕46号）的规定，中小企业（含中型、小型、微型企业，下同）应当同时符合以下条件：</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（1）在中华人民共和国境内依法设立，依据国务院批准的中小企业划分标准确定的中型企业、小型企业和微型企业，但与大企业的负责人为同一人，或者与大企业存在直接控股、管理关系的除外；</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（2）符合中小企业划分标准的个体工商户，在政府采购活动中视同中小企业。</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1.2本规定所称中小企业划分标准，是指国务院有关部门根据企业从业人员、营业收入、资产总额等指标制定的中小企业划型标准，详见《关于印发中小企业划型标准规定的通知》（工信部联企业〔2011〕300号）。</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1.3在政府采购活动中，供应商提供的货物、工程或者服务符合下列情形的，享受本办法规定的中小企业扶持政策：</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（1）在货物采购项目中，货物由中小企业制造，即货物由中小企业生产且使用该中小企业商号或者注册商标；</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（2）在工程采购项目中，工程由中小企业承建，即工程施工单位为中小企业；</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（3）在服务采购项目中，服务由中小企业承接，即提供服务的人员为中小企业依照《中华人民共和国劳动合同法》订立劳动合同的从业人员。</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1.4在货物采购项目中，供应商提供的货物既有中小企业制造货物，也有大型企业制造货物的，不享受《关于印发&lt;政府采购促进中小企业发展管理办法&gt;的通知》（财库〔2020〕46号）中规定的中小企业扶持政策。</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1.5以联合体形式参加政府采购活动，联合体各方均为中小企业的，联合体视同中小企业。其中，联合体各方均为小微企业的，联合体视同小微企业。</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1.6中小企业参加政府采购活动，应当出具《关于印发&lt;政府采购促进中小企业发展管理办法&gt;的通知》（财库〔2020〕46号）规定的《中小企业声明函》，否则不得享受相关中小企业扶持政策。</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1.7享受中小企业扶持政策获得政府采购合同的，小微企业不得将合同分包给大中型企业，中型企业不得将合同分包给大型企业。</w:t>
      </w:r>
    </w:p>
    <w:p>
      <w:pPr>
        <w:autoSpaceDE w:val="0"/>
        <w:autoSpaceDN w:val="0"/>
        <w:adjustRightInd w:val="0"/>
        <w:snapToGrid w:val="0"/>
        <w:spacing w:line="360" w:lineRule="auto"/>
        <w:ind w:firstLine="422" w:firstLineChars="200"/>
        <w:rPr>
          <w:rFonts w:ascii="宋体" w:hAnsi="宋体" w:cs="宋体"/>
          <w:b/>
          <w:kern w:val="0"/>
          <w:szCs w:val="21"/>
        </w:rPr>
      </w:pPr>
      <w:r>
        <w:rPr>
          <w:rFonts w:hint="eastAsia" w:ascii="宋体" w:hAnsi="宋体" w:cs="宋体"/>
          <w:b/>
          <w:kern w:val="0"/>
          <w:szCs w:val="21"/>
        </w:rPr>
        <w:t>1</w:t>
      </w:r>
      <w:r>
        <w:rPr>
          <w:rFonts w:ascii="宋体" w:hAnsi="宋体" w:cs="宋体"/>
          <w:b/>
          <w:kern w:val="0"/>
          <w:szCs w:val="21"/>
        </w:rPr>
        <w:t>.8</w:t>
      </w:r>
      <w:r>
        <w:rPr>
          <w:rFonts w:hint="eastAsia" w:ascii="宋体" w:hAnsi="宋体" w:cs="宋体"/>
          <w:b/>
          <w:kern w:val="0"/>
          <w:szCs w:val="21"/>
        </w:rPr>
        <w:t>供应商提供的《中小企业声明函》声明函内容不实的，属于提供虚假材料谋取中标、成交，依照《中华人民共和国政府采购法》等国家有关规定追究相应责任。</w:t>
      </w:r>
    </w:p>
    <w:p>
      <w:pPr>
        <w:autoSpaceDE w:val="0"/>
        <w:autoSpaceDN w:val="0"/>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1</w:t>
      </w:r>
      <w:r>
        <w:rPr>
          <w:rFonts w:ascii="宋体" w:hAnsi="宋体" w:cs="宋体"/>
          <w:bCs/>
          <w:kern w:val="0"/>
          <w:szCs w:val="21"/>
        </w:rPr>
        <w:t>.9</w:t>
      </w:r>
      <w:r>
        <w:rPr>
          <w:rFonts w:hint="eastAsia" w:ascii="宋体" w:hAnsi="宋体" w:cs="宋体"/>
          <w:bCs/>
          <w:kern w:val="0"/>
          <w:szCs w:val="21"/>
        </w:rPr>
        <w:t>根据《关于进一步加大政府采购支持中小企业力度的通知》财库〔2022〕19号精神，调整对小微企业的价格评审优惠幅度。货物服务采购项目给予小微企业的价格扣除优惠，由财库〔2020〕46号文件规定的6%-10%提高至10%-20%。大中型企业与小微企业组成联合体或者大中型企业向小微企业分包的，评审优惠幅度由2%—3%提高至4%—6%。政府采购工程的价格评审优惠按照财库〔2020〕46号文件的规定执行。本项目价格扣除优惠幅度以评审办法中明确为准。</w:t>
      </w:r>
    </w:p>
    <w:p>
      <w:pPr>
        <w:adjustRightInd w:val="0"/>
        <w:snapToGrid w:val="0"/>
        <w:spacing w:line="360" w:lineRule="auto"/>
        <w:ind w:firstLine="422" w:firstLineChars="200"/>
        <w:outlineLvl w:val="2"/>
        <w:rPr>
          <w:rFonts w:ascii="宋体" w:hAnsi="宋体" w:cs="宋体"/>
          <w:b/>
          <w:color w:val="000000"/>
          <w:kern w:val="0"/>
          <w:szCs w:val="21"/>
        </w:rPr>
      </w:pPr>
      <w:bookmarkStart w:id="798" w:name="_Toc17893"/>
      <w:bookmarkStart w:id="799" w:name="_Toc6905"/>
      <w:bookmarkStart w:id="800" w:name="_Toc87622707"/>
      <w:bookmarkStart w:id="801" w:name="_Toc80867994"/>
      <w:r>
        <w:rPr>
          <w:rFonts w:hint="eastAsia" w:ascii="宋体" w:hAnsi="宋体" w:cs="宋体"/>
          <w:b/>
          <w:color w:val="000000"/>
          <w:kern w:val="0"/>
          <w:szCs w:val="21"/>
        </w:rPr>
        <w:t>2.关于监狱企业</w:t>
      </w:r>
      <w:bookmarkEnd w:id="796"/>
      <w:bookmarkEnd w:id="797"/>
      <w:bookmarkEnd w:id="798"/>
      <w:bookmarkEnd w:id="799"/>
      <w:bookmarkEnd w:id="800"/>
      <w:bookmarkEnd w:id="801"/>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2.1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2.2监狱企业参加政府采购活动时，应当提供由省级以上监狱管理局、戒毒管理局（含新疆生产建设兵团）出具的属于监狱企业的证明文件。</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2.3在政府采购活动中，监狱企业视同小型、微型企业，享受预留份额、评审中价格扣除等政府采购促进中小企业发展的政府采购政策。</w:t>
      </w:r>
    </w:p>
    <w:p>
      <w:pPr>
        <w:adjustRightInd w:val="0"/>
        <w:snapToGrid w:val="0"/>
        <w:spacing w:line="360" w:lineRule="auto"/>
        <w:ind w:firstLine="422" w:firstLineChars="200"/>
        <w:outlineLvl w:val="2"/>
        <w:rPr>
          <w:rFonts w:ascii="宋体" w:hAnsi="宋体" w:cs="宋体"/>
          <w:b/>
          <w:color w:val="000000"/>
          <w:kern w:val="0"/>
          <w:szCs w:val="21"/>
        </w:rPr>
      </w:pPr>
      <w:bookmarkStart w:id="802" w:name="_Toc10389"/>
      <w:bookmarkStart w:id="803" w:name="_Toc34821177"/>
      <w:bookmarkStart w:id="804" w:name="_Toc87622708"/>
      <w:bookmarkStart w:id="805" w:name="_Toc26417"/>
      <w:bookmarkStart w:id="806" w:name="_Toc34335325"/>
      <w:bookmarkStart w:id="807" w:name="_Toc80867995"/>
      <w:r>
        <w:rPr>
          <w:rFonts w:hint="eastAsia" w:ascii="宋体" w:hAnsi="宋体" w:cs="宋体"/>
          <w:b/>
          <w:color w:val="000000"/>
          <w:kern w:val="0"/>
          <w:szCs w:val="21"/>
        </w:rPr>
        <w:t>3.关于残疾人福利性单位</w:t>
      </w:r>
      <w:bookmarkEnd w:id="802"/>
      <w:bookmarkEnd w:id="803"/>
      <w:bookmarkEnd w:id="804"/>
      <w:bookmarkEnd w:id="805"/>
      <w:bookmarkEnd w:id="806"/>
      <w:bookmarkEnd w:id="807"/>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3.1符合条件的残疾人福利性单位在参加政府采购活动时，应当按《三部门联合发布关于促进残疾人就业政府采购政策的通知》（财库〔2017〕141号）提供规定的《残疾人福利性单位声明函》，并对声明的真实性负责。</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3.2本项目针对残疾人福利性单位产品的价格给予价格扣除，用扣除后的价格参与评审。残疾人福利性单位属于小型、微型企业的，不重复享受政策。</w:t>
      </w:r>
    </w:p>
    <w:p>
      <w:pPr>
        <w:adjustRightInd w:val="0"/>
        <w:snapToGrid w:val="0"/>
        <w:spacing w:line="360" w:lineRule="auto"/>
        <w:ind w:firstLine="422" w:firstLineChars="200"/>
        <w:outlineLvl w:val="2"/>
        <w:rPr>
          <w:rFonts w:ascii="宋体" w:hAnsi="宋体" w:cs="宋体"/>
          <w:b/>
          <w:color w:val="000000"/>
          <w:kern w:val="0"/>
          <w:szCs w:val="21"/>
        </w:rPr>
      </w:pPr>
      <w:bookmarkStart w:id="808" w:name="_Toc6395"/>
      <w:bookmarkStart w:id="809" w:name="_Toc87622709"/>
      <w:bookmarkStart w:id="810" w:name="_Toc80867996"/>
      <w:bookmarkStart w:id="811" w:name="_Toc13330"/>
      <w:r>
        <w:rPr>
          <w:rFonts w:hint="eastAsia" w:ascii="宋体" w:hAnsi="宋体" w:cs="宋体"/>
          <w:b/>
          <w:color w:val="000000"/>
          <w:kern w:val="0"/>
          <w:szCs w:val="21"/>
        </w:rPr>
        <w:t>4.政府采购节能产品、环境标志产品政策</w:t>
      </w:r>
      <w:bookmarkEnd w:id="808"/>
      <w:bookmarkEnd w:id="809"/>
      <w:bookmarkEnd w:id="810"/>
      <w:bookmarkEnd w:id="811"/>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4.1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节能产品政府采购品目清单、环境标志产品政府采购品目清单可通过中国政府采购网（http://www.ccgp.gov.cn/）查阅。</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4.2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其中，节能产品政府采购品目清单中以“★”标注的为政府强制采购产品，其余为优先采购产品。</w:t>
      </w:r>
    </w:p>
    <w:p>
      <w:pPr>
        <w:adjustRightInd w:val="0"/>
        <w:snapToGrid w:val="0"/>
        <w:spacing w:line="360" w:lineRule="auto"/>
        <w:ind w:firstLine="422" w:firstLineChars="200"/>
        <w:jc w:val="left"/>
        <w:rPr>
          <w:rFonts w:ascii="宋体" w:hAnsi="宋体"/>
          <w:b/>
          <w:bCs/>
          <w:szCs w:val="21"/>
        </w:rPr>
      </w:pPr>
      <w:r>
        <w:rPr>
          <w:rFonts w:hint="eastAsia" w:ascii="宋体" w:hAnsi="宋体"/>
          <w:b/>
          <w:bCs/>
          <w:szCs w:val="21"/>
        </w:rPr>
        <w:t>所投</w:t>
      </w:r>
      <w:r>
        <w:rPr>
          <w:rFonts w:ascii="宋体" w:hAnsi="宋体"/>
          <w:b/>
          <w:bCs/>
          <w:szCs w:val="21"/>
        </w:rPr>
        <w:t>产品属于财政部和国家发改委公布的当期《节能产品政府采购品目清单》中以</w:t>
      </w:r>
      <w:r>
        <w:rPr>
          <w:rFonts w:hint="eastAsia" w:ascii="宋体" w:hAnsi="宋体"/>
          <w:b/>
          <w:bCs/>
          <w:szCs w:val="21"/>
        </w:rPr>
        <w:t>“</w:t>
      </w:r>
      <w:r>
        <w:rPr>
          <w:rFonts w:ascii="宋体" w:hAnsi="宋体"/>
          <w:b/>
          <w:bCs/>
          <w:szCs w:val="21"/>
        </w:rPr>
        <w:t>★</w:t>
      </w:r>
      <w:r>
        <w:rPr>
          <w:rFonts w:hint="eastAsia" w:ascii="宋体" w:hAnsi="宋体"/>
          <w:b/>
          <w:bCs/>
          <w:szCs w:val="21"/>
        </w:rPr>
        <w:t>”</w:t>
      </w:r>
      <w:r>
        <w:rPr>
          <w:rFonts w:ascii="宋体" w:hAnsi="宋体"/>
          <w:b/>
          <w:bCs/>
          <w:szCs w:val="21"/>
        </w:rPr>
        <w:t>标注类别的节能产品，</w:t>
      </w:r>
      <w:r>
        <w:rPr>
          <w:rFonts w:hint="eastAsia" w:ascii="宋体" w:hAnsi="宋体"/>
          <w:b/>
          <w:bCs/>
          <w:szCs w:val="21"/>
        </w:rPr>
        <w:t>供应商</w:t>
      </w:r>
      <w:r>
        <w:rPr>
          <w:rFonts w:ascii="宋体" w:hAnsi="宋体"/>
          <w:b/>
          <w:bCs/>
          <w:szCs w:val="21"/>
        </w:rPr>
        <w:t>需在响应文件中提供节能产品认证证书。</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4.3市场监管总局组织建立节能产品、环境标志产品认证结果信息发布平台，公布相关认证机构和获证产品信息。</w:t>
      </w:r>
    </w:p>
    <w:p>
      <w:pPr>
        <w:pStyle w:val="20"/>
        <w:tabs>
          <w:tab w:val="left" w:pos="2472"/>
        </w:tabs>
        <w:wordWrap w:val="0"/>
        <w:snapToGrid w:val="0"/>
        <w:spacing w:line="360" w:lineRule="auto"/>
        <w:ind w:firstLine="420" w:firstLineChars="200"/>
        <w:jc w:val="both"/>
        <w:rPr>
          <w:rFonts w:hAnsi="宋体" w:cs="宋体"/>
          <w:color w:val="000000"/>
        </w:rPr>
      </w:pPr>
      <w:r>
        <w:rPr>
          <w:rFonts w:hint="eastAsia" w:hAnsi="宋体" w:cs="宋体"/>
          <w:color w:val="000000"/>
        </w:rPr>
        <w:t>政府采购节能产品、环境标志产品认证机构名录可通过中国政府采购网（http://www.ccgp.gov.cn/）查阅。</w:t>
      </w:r>
    </w:p>
    <w:p>
      <w:pPr>
        <w:adjustRightInd w:val="0"/>
        <w:snapToGrid w:val="0"/>
        <w:spacing w:line="360" w:lineRule="auto"/>
        <w:ind w:firstLine="422" w:firstLineChars="200"/>
        <w:outlineLvl w:val="2"/>
        <w:rPr>
          <w:rFonts w:ascii="宋体" w:hAnsi="宋体" w:cs="宋体"/>
          <w:b/>
          <w:color w:val="000000"/>
          <w:kern w:val="0"/>
          <w:szCs w:val="21"/>
        </w:rPr>
      </w:pPr>
      <w:bookmarkStart w:id="812" w:name="_Toc80867997"/>
      <w:bookmarkStart w:id="813" w:name="_Toc20563"/>
      <w:bookmarkStart w:id="814" w:name="_Toc478978879"/>
      <w:bookmarkStart w:id="815" w:name="_Toc34821178"/>
      <w:bookmarkStart w:id="816" w:name="_Toc9606"/>
      <w:bookmarkStart w:id="817" w:name="_Toc87622710"/>
      <w:bookmarkStart w:id="818" w:name="_Toc34335326"/>
      <w:r>
        <w:rPr>
          <w:rFonts w:hint="eastAsia" w:ascii="宋体" w:hAnsi="宋体" w:cs="宋体"/>
          <w:b/>
          <w:color w:val="000000"/>
          <w:kern w:val="0"/>
          <w:szCs w:val="21"/>
        </w:rPr>
        <w:t>5.其他</w:t>
      </w:r>
      <w:bookmarkEnd w:id="812"/>
      <w:bookmarkEnd w:id="813"/>
      <w:bookmarkEnd w:id="814"/>
      <w:bookmarkEnd w:id="815"/>
      <w:bookmarkEnd w:id="816"/>
      <w:bookmarkEnd w:id="817"/>
      <w:bookmarkEnd w:id="818"/>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5.1磋商小组发现竞争性磋商文件存在歧义、重大缺陷导致评审工作无法进行，或者竞争性磋商文件内容违反国家有关规定的，要停止磋商工作并向采购人或采购代理机构书面说明情况，采购人或采购代理机构应当修改竞争性磋商文件后重新组织采购活动；发现供应商提供虚假材料、串通等违法违规行为的，要及时向采购人或采购代理机构报告。</w:t>
      </w:r>
    </w:p>
    <w:p>
      <w:pPr>
        <w:pStyle w:val="20"/>
        <w:tabs>
          <w:tab w:val="left" w:pos="2472"/>
        </w:tabs>
        <w:snapToGrid w:val="0"/>
        <w:spacing w:line="360" w:lineRule="auto"/>
        <w:ind w:firstLine="420" w:firstLineChars="200"/>
        <w:jc w:val="both"/>
        <w:rPr>
          <w:rFonts w:hAnsi="宋体" w:cs="宋体"/>
          <w:color w:val="000000"/>
        </w:rPr>
      </w:pPr>
      <w:r>
        <w:rPr>
          <w:rFonts w:hint="eastAsia" w:hAnsi="宋体" w:cs="宋体"/>
          <w:color w:val="000000"/>
        </w:rPr>
        <w:t>5.2 根据《财政部关于在政府采购活动中查询及使用信用记录有关问题的通知-财库〔2016〕125 号》相关要求，采购人或者采购代理机构对信用记录进行核实，对列入失信被执行人、重大税收违法失信主体、政府采购严重违法失信行为记录名单及其他不符合《中华人民共和国政府采购法》第二十二条规定条件的供应商，拒绝其参与政府采购活动。</w:t>
      </w:r>
    </w:p>
    <w:sectPr>
      <w:footerReference r:id="rId4" w:type="default"/>
      <w:pgSz w:w="11906" w:h="16838"/>
      <w:pgMar w:top="1417" w:right="1418" w:bottom="1418" w:left="1587" w:header="1077" w:footer="90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A00002EF" w:usb1="4000004B" w:usb2="00000000"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Arial Narrow">
    <w:panose1 w:val="020B0606020202030204"/>
    <w:charset w:val="00"/>
    <w:family w:val="swiss"/>
    <w:pitch w:val="default"/>
    <w:sig w:usb0="00000287" w:usb1="00000800" w:usb2="00000000" w:usb3="00000000" w:csb0="2000009F" w:csb1="DFD70000"/>
  </w:font>
  <w:font w:name="Arial Unicode MS">
    <w:altName w:val="宋体"/>
    <w:panose1 w:val="020B0604020202020204"/>
    <w:charset w:val="86"/>
    <w:family w:val="swiss"/>
    <w:pitch w:val="default"/>
    <w:sig w:usb0="00000000" w:usb1="00000000" w:usb2="0000003F" w:usb3="00000000" w:csb0="003F01FF" w:csb1="00000000"/>
  </w:font>
  <w:font w:name=".......">
    <w:altName w:val="宋体"/>
    <w:panose1 w:val="00000000000000000000"/>
    <w:charset w:val="86"/>
    <w:family w:val="auto"/>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3191"/>
        <w:tab w:val="right" w:pos="8901"/>
      </w:tabs>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5"/>
                          </w:pPr>
                          <w:r>
                            <w:t xml:space="preserve">第 </w:t>
                          </w:r>
                          <w:r>
                            <w:fldChar w:fldCharType="begin"/>
                          </w:r>
                          <w:r>
                            <w:instrText xml:space="preserve"> PAGE  \* MERGEFORMAT </w:instrText>
                          </w:r>
                          <w:r>
                            <w:fldChar w:fldCharType="separate"/>
                          </w:r>
                          <w:r>
                            <w:t>53</w:t>
                          </w:r>
                          <w:r>
                            <w:fldChar w:fldCharType="end"/>
                          </w:r>
                          <w:r>
                            <w:t xml:space="preserve"> 页 共 </w:t>
                          </w:r>
                          <w:r>
                            <w:rPr>
                              <w:rFonts w:hint="eastAsia"/>
                            </w:rPr>
                            <w:t>57</w:t>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25"/>
                    </w:pPr>
                    <w:r>
                      <w:t xml:space="preserve">第 </w:t>
                    </w:r>
                    <w:r>
                      <w:fldChar w:fldCharType="begin"/>
                    </w:r>
                    <w:r>
                      <w:instrText xml:space="preserve"> PAGE  \* MERGEFORMAT </w:instrText>
                    </w:r>
                    <w:r>
                      <w:fldChar w:fldCharType="separate"/>
                    </w:r>
                    <w:r>
                      <w:t>53</w:t>
                    </w:r>
                    <w:r>
                      <w:fldChar w:fldCharType="end"/>
                    </w:r>
                    <w:r>
                      <w:t xml:space="preserve"> 页 共 </w:t>
                    </w:r>
                    <w:r>
                      <w:rPr>
                        <w:rFonts w:hint="eastAsia"/>
                      </w:rPr>
                      <w:t>57</w:t>
                    </w:r>
                    <w:r>
                      <w:t xml:space="preserve"> 页</w:t>
                    </w:r>
                  </w:p>
                </w:txbxContent>
              </v:textbox>
            </v:shape>
          </w:pict>
        </mc:Fallback>
      </mc:AlternateContent>
    </w:r>
    <w:r>
      <w:rPr>
        <w:rFonts w:hint="eastAsia" w:ascii="黑体" w:hAnsi="黑体" w:eastAsia="黑体"/>
        <w:bCs/>
      </w:rPr>
      <w:t xml:space="preserve">  </w:t>
    </w:r>
    <w:r>
      <w:rPr>
        <w:rFonts w:ascii="黑体" w:hAnsi="黑体" w:eastAsia="黑体"/>
        <w:bCs/>
      </w:rPr>
      <w:drawing>
        <wp:inline distT="0" distB="0" distL="114300" distR="114300">
          <wp:extent cx="1391285" cy="327660"/>
          <wp:effectExtent l="0" t="0" r="8890" b="0"/>
          <wp:docPr id="2" name="图片 2" descr="C:\Users\Administrator\Desktop\云南中云招标咨询有限公司制度选编\公司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云南中云招标咨询有限公司制度选编\公司LOGO\2.png"/>
                  <pic:cNvPicPr>
                    <a:picLocks noChangeAspect="1"/>
                  </pic:cNvPicPr>
                </pic:nvPicPr>
                <pic:blipFill>
                  <a:blip r:embed="rId1"/>
                  <a:stretch>
                    <a:fillRect/>
                  </a:stretch>
                </pic:blipFill>
                <pic:spPr>
                  <a:xfrm>
                    <a:off x="0" y="0"/>
                    <a:ext cx="1391285" cy="327660"/>
                  </a:xfrm>
                  <a:prstGeom prst="rect">
                    <a:avLst/>
                  </a:prstGeom>
                  <a:noFill/>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thickThinSmallGap" w:color="auto" w:sz="12" w:space="1"/>
      </w:pBdr>
      <w:jc w:val="left"/>
      <w:rPr>
        <w:rFonts w:ascii="黑体" w:hAnsi="黑体" w:eastAsia="黑体" w:cs="黑体"/>
        <w:b/>
        <w:bCs/>
      </w:rPr>
    </w:pPr>
    <w:r>
      <w:rPr>
        <w:rFonts w:hint="eastAsia" w:ascii="黑体" w:hAnsi="黑体" w:eastAsia="黑体" w:cs="黑体"/>
        <w:b/>
        <w:bCs/>
        <w:color w:val="000000"/>
        <w:szCs w:val="21"/>
      </w:rPr>
      <w:t>云南省生态环境监测中心云南省土壤环境信息化管理平台运维项目                          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62AB7E"/>
    <w:multiLevelType w:val="singleLevel"/>
    <w:tmpl w:val="A962AB7E"/>
    <w:lvl w:ilvl="0" w:tentative="0">
      <w:start w:val="3"/>
      <w:numFmt w:val="decimal"/>
      <w:suff w:val="nothing"/>
      <w:lvlText w:val="（%1）"/>
      <w:lvlJc w:val="left"/>
    </w:lvl>
  </w:abstractNum>
  <w:abstractNum w:abstractNumId="1">
    <w:nsid w:val="BA1FA69E"/>
    <w:multiLevelType w:val="singleLevel"/>
    <w:tmpl w:val="BA1FA69E"/>
    <w:lvl w:ilvl="0" w:tentative="0">
      <w:start w:val="1"/>
      <w:numFmt w:val="chineseCounting"/>
      <w:suff w:val="nothing"/>
      <w:lvlText w:val="%1、"/>
      <w:lvlJc w:val="left"/>
      <w:rPr>
        <w:rFonts w:hint="eastAsia"/>
      </w:rPr>
    </w:lvl>
  </w:abstractNum>
  <w:abstractNum w:abstractNumId="2">
    <w:nsid w:val="CF3D8509"/>
    <w:multiLevelType w:val="singleLevel"/>
    <w:tmpl w:val="CF3D8509"/>
    <w:lvl w:ilvl="0" w:tentative="0">
      <w:start w:val="2"/>
      <w:numFmt w:val="decimal"/>
      <w:suff w:val="nothing"/>
      <w:lvlText w:val="%1、"/>
      <w:lvlJc w:val="left"/>
    </w:lvl>
  </w:abstractNum>
  <w:abstractNum w:abstractNumId="3">
    <w:nsid w:val="E003E1DB"/>
    <w:multiLevelType w:val="singleLevel"/>
    <w:tmpl w:val="E003E1DB"/>
    <w:lvl w:ilvl="0" w:tentative="0">
      <w:start w:val="2"/>
      <w:numFmt w:val="decimal"/>
      <w:suff w:val="nothing"/>
      <w:lvlText w:val="%1、"/>
      <w:lvlJc w:val="left"/>
    </w:lvl>
  </w:abstractNum>
  <w:abstractNum w:abstractNumId="4">
    <w:nsid w:val="FFFFFFFB"/>
    <w:multiLevelType w:val="multilevel"/>
    <w:tmpl w:val="FFFFFFFB"/>
    <w:lvl w:ilvl="0" w:tentative="0">
      <w:start w:val="1"/>
      <w:numFmt w:val="decimal"/>
      <w:pStyle w:val="29"/>
      <w:lvlText w:val="%1."/>
      <w:legacy w:legacy="1" w:legacySpace="0" w:legacyIndent="425"/>
      <w:lvlJc w:val="left"/>
      <w:pPr>
        <w:ind w:left="425" w:hanging="425"/>
      </w:pPr>
      <w:rPr>
        <w:rFonts w:cs="Times New Roman"/>
      </w:rPr>
    </w:lvl>
    <w:lvl w:ilvl="1" w:tentative="0">
      <w:start w:val="1"/>
      <w:numFmt w:val="decimal"/>
      <w:lvlText w:val="%1.%2."/>
      <w:legacy w:legacy="1" w:legacySpace="0" w:legacyIndent="425"/>
      <w:lvlJc w:val="left"/>
      <w:pPr>
        <w:ind w:left="850" w:hanging="425"/>
      </w:pPr>
      <w:rPr>
        <w:rFonts w:cs="Times New Roman"/>
      </w:rPr>
    </w:lvl>
    <w:lvl w:ilvl="2" w:tentative="0">
      <w:start w:val="1"/>
      <w:numFmt w:val="decimal"/>
      <w:lvlText w:val="%1.%2.%3."/>
      <w:legacy w:legacy="1" w:legacySpace="0" w:legacyIndent="425"/>
      <w:lvlJc w:val="left"/>
      <w:pPr>
        <w:ind w:left="1275" w:hanging="425"/>
      </w:pPr>
      <w:rPr>
        <w:rFonts w:cs="Times New Roman"/>
      </w:rPr>
    </w:lvl>
    <w:lvl w:ilvl="3" w:tentative="0">
      <w:start w:val="1"/>
      <w:numFmt w:val="decimal"/>
      <w:lvlText w:val="%1.%2.%3.%4."/>
      <w:legacy w:legacy="1" w:legacySpace="0" w:legacyIndent="425"/>
      <w:lvlJc w:val="left"/>
      <w:pPr>
        <w:ind w:left="1700" w:hanging="425"/>
      </w:pPr>
      <w:rPr>
        <w:rFonts w:cs="Times New Roman"/>
      </w:rPr>
    </w:lvl>
    <w:lvl w:ilvl="4" w:tentative="0">
      <w:start w:val="1"/>
      <w:numFmt w:val="decimal"/>
      <w:pStyle w:val="7"/>
      <w:lvlText w:val="%1.%2.%3.%4.%5."/>
      <w:legacy w:legacy="1" w:legacySpace="0" w:legacyIndent="425"/>
      <w:lvlJc w:val="left"/>
      <w:pPr>
        <w:ind w:left="2125" w:hanging="425"/>
      </w:pPr>
      <w:rPr>
        <w:rFonts w:cs="Times New Roman"/>
      </w:rPr>
    </w:lvl>
    <w:lvl w:ilvl="5" w:tentative="0">
      <w:start w:val="1"/>
      <w:numFmt w:val="decimal"/>
      <w:lvlText w:val="%1.%2.%3.%4.%5.%6."/>
      <w:legacy w:legacy="1" w:legacySpace="0" w:legacyIndent="425"/>
      <w:lvlJc w:val="left"/>
      <w:pPr>
        <w:ind w:left="2550" w:hanging="425"/>
      </w:pPr>
      <w:rPr>
        <w:rFonts w:cs="Times New Roman"/>
      </w:rPr>
    </w:lvl>
    <w:lvl w:ilvl="6" w:tentative="0">
      <w:start w:val="1"/>
      <w:numFmt w:val="decimal"/>
      <w:lvlText w:val="%1.%2.%3.%4.%5.%6.%7."/>
      <w:legacy w:legacy="1" w:legacySpace="0" w:legacyIndent="425"/>
      <w:lvlJc w:val="left"/>
      <w:pPr>
        <w:ind w:left="2975" w:hanging="425"/>
      </w:pPr>
      <w:rPr>
        <w:rFonts w:cs="Times New Roman"/>
      </w:rPr>
    </w:lvl>
    <w:lvl w:ilvl="7" w:tentative="0">
      <w:start w:val="1"/>
      <w:numFmt w:val="decimal"/>
      <w:lvlText w:val="%1.%2.%3.%4.%5.%6.%7.%8."/>
      <w:legacy w:legacy="1" w:legacySpace="0" w:legacyIndent="425"/>
      <w:lvlJc w:val="left"/>
      <w:pPr>
        <w:ind w:left="3400" w:hanging="425"/>
      </w:pPr>
      <w:rPr>
        <w:rFonts w:cs="Times New Roman"/>
      </w:rPr>
    </w:lvl>
    <w:lvl w:ilvl="8" w:tentative="0">
      <w:start w:val="1"/>
      <w:numFmt w:val="decimal"/>
      <w:lvlText w:val="%1.%2.%3.%4.%5.%6.%7.%8.%9."/>
      <w:legacy w:legacy="1" w:legacySpace="0" w:legacyIndent="425"/>
      <w:lvlJc w:val="left"/>
      <w:pPr>
        <w:ind w:left="3825" w:hanging="425"/>
      </w:pPr>
      <w:rPr>
        <w:rFonts w:cs="Times New Roman"/>
      </w:rPr>
    </w:lvl>
  </w:abstractNum>
  <w:abstractNum w:abstractNumId="5">
    <w:nsid w:val="11EF3BBC"/>
    <w:multiLevelType w:val="multilevel"/>
    <w:tmpl w:val="11EF3BBC"/>
    <w:lvl w:ilvl="0" w:tentative="0">
      <w:start w:val="1"/>
      <w:numFmt w:val="bullet"/>
      <w:pStyle w:val="132"/>
      <w:lvlText w:val="♦"/>
      <w:lvlJc w:val="left"/>
      <w:pPr>
        <w:tabs>
          <w:tab w:val="left" w:pos="814"/>
        </w:tabs>
        <w:ind w:left="794" w:hanging="340"/>
      </w:pPr>
      <w:rPr>
        <w:rFonts w:hint="default" w:ascii="Arial Narrow" w:hAnsi="Arial Narrow" w:eastAsia="宋体"/>
        <w:b w:val="0"/>
        <w:i w:val="0"/>
        <w:color w:val="000000"/>
        <w:spacing w:val="-20"/>
        <w:sz w:val="24"/>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151923CD"/>
    <w:multiLevelType w:val="multilevel"/>
    <w:tmpl w:val="151923CD"/>
    <w:lvl w:ilvl="0" w:tentative="0">
      <w:start w:val="1"/>
      <w:numFmt w:val="decimal"/>
      <w:pStyle w:val="161"/>
      <w:lvlText w:val="%1)"/>
      <w:lvlJc w:val="left"/>
      <w:pPr>
        <w:ind w:left="1400" w:hanging="420"/>
      </w:p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7">
    <w:nsid w:val="2AC11F41"/>
    <w:multiLevelType w:val="singleLevel"/>
    <w:tmpl w:val="2AC11F41"/>
    <w:lvl w:ilvl="0" w:tentative="0">
      <w:start w:val="4"/>
      <w:numFmt w:val="chineseCounting"/>
      <w:suff w:val="space"/>
      <w:lvlText w:val="第%1章"/>
      <w:lvlJc w:val="left"/>
      <w:rPr>
        <w:rFonts w:hint="eastAsia"/>
      </w:rPr>
    </w:lvl>
  </w:abstractNum>
  <w:abstractNum w:abstractNumId="8">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98"/>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9">
    <w:nsid w:val="408F78CD"/>
    <w:multiLevelType w:val="multilevel"/>
    <w:tmpl w:val="408F78CD"/>
    <w:lvl w:ilvl="0" w:tentative="0">
      <w:start w:val="1"/>
      <w:numFmt w:val="decimal"/>
      <w:pStyle w:val="160"/>
      <w:lvlText w:val="%1)"/>
      <w:lvlJc w:val="left"/>
      <w:pPr>
        <w:ind w:left="420" w:hanging="420"/>
      </w:pPr>
    </w:lvl>
    <w:lvl w:ilvl="1" w:tentative="0">
      <w:start w:val="1"/>
      <w:numFmt w:val="decimal"/>
      <w:pStyle w:val="164"/>
      <w:lvlText w:val="%2)"/>
      <w:lvlJc w:val="left"/>
      <w:pPr>
        <w:ind w:left="840" w:hanging="420"/>
      </w:pPr>
    </w:lvl>
    <w:lvl w:ilvl="2" w:tentative="0">
      <w:start w:val="1"/>
      <w:numFmt w:val="lowerRoman"/>
      <w:pStyle w:val="163"/>
      <w:lvlText w:val="%3."/>
      <w:lvlJc w:val="right"/>
      <w:pPr>
        <w:ind w:left="1260" w:hanging="420"/>
      </w:pPr>
    </w:lvl>
    <w:lvl w:ilvl="3" w:tentative="0">
      <w:start w:val="1"/>
      <w:numFmt w:val="decimal"/>
      <w:pStyle w:val="162"/>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pStyle w:val="165"/>
      <w:lvlText w:val="%9."/>
      <w:lvlJc w:val="right"/>
      <w:pPr>
        <w:ind w:left="3780" w:hanging="420"/>
      </w:pPr>
    </w:lvl>
  </w:abstractNum>
  <w:num w:numId="1">
    <w:abstractNumId w:val="4"/>
  </w:num>
  <w:num w:numId="2">
    <w:abstractNumId w:val="8"/>
  </w:num>
  <w:num w:numId="3">
    <w:abstractNumId w:val="5"/>
  </w:num>
  <w:num w:numId="4">
    <w:abstractNumId w:val="9"/>
  </w:num>
  <w:num w:numId="5">
    <w:abstractNumId w:val="6"/>
  </w:num>
  <w:num w:numId="6">
    <w:abstractNumId w:val="3"/>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zNDI0NThjOGUyYjIzZmNiNjZjNTM1MzUxNjI4NmMifQ=="/>
  </w:docVars>
  <w:rsids>
    <w:rsidRoot w:val="00172A27"/>
    <w:rsid w:val="000003D5"/>
    <w:rsid w:val="00000E5B"/>
    <w:rsid w:val="00001FF7"/>
    <w:rsid w:val="0000248E"/>
    <w:rsid w:val="00002543"/>
    <w:rsid w:val="00003F96"/>
    <w:rsid w:val="00004EF8"/>
    <w:rsid w:val="0000649C"/>
    <w:rsid w:val="000075B2"/>
    <w:rsid w:val="00012DF4"/>
    <w:rsid w:val="00013150"/>
    <w:rsid w:val="00013E97"/>
    <w:rsid w:val="00014E7D"/>
    <w:rsid w:val="000151E9"/>
    <w:rsid w:val="00015DDD"/>
    <w:rsid w:val="00017C71"/>
    <w:rsid w:val="0002019A"/>
    <w:rsid w:val="00020EF8"/>
    <w:rsid w:val="0002347D"/>
    <w:rsid w:val="00023B63"/>
    <w:rsid w:val="00023B84"/>
    <w:rsid w:val="00024A11"/>
    <w:rsid w:val="00024B85"/>
    <w:rsid w:val="000254F6"/>
    <w:rsid w:val="00025D70"/>
    <w:rsid w:val="00025E15"/>
    <w:rsid w:val="00026520"/>
    <w:rsid w:val="00027596"/>
    <w:rsid w:val="00030C30"/>
    <w:rsid w:val="00031717"/>
    <w:rsid w:val="00032A6D"/>
    <w:rsid w:val="00032ECB"/>
    <w:rsid w:val="00035A14"/>
    <w:rsid w:val="00035C64"/>
    <w:rsid w:val="00035FE8"/>
    <w:rsid w:val="000371D2"/>
    <w:rsid w:val="000373D1"/>
    <w:rsid w:val="00037460"/>
    <w:rsid w:val="000404E8"/>
    <w:rsid w:val="00041306"/>
    <w:rsid w:val="000420E0"/>
    <w:rsid w:val="0004395D"/>
    <w:rsid w:val="00044671"/>
    <w:rsid w:val="00044D38"/>
    <w:rsid w:val="00045167"/>
    <w:rsid w:val="00046418"/>
    <w:rsid w:val="0004675F"/>
    <w:rsid w:val="00046B39"/>
    <w:rsid w:val="0005034F"/>
    <w:rsid w:val="00052D25"/>
    <w:rsid w:val="00053B1A"/>
    <w:rsid w:val="00054369"/>
    <w:rsid w:val="00055A66"/>
    <w:rsid w:val="00056549"/>
    <w:rsid w:val="00057A64"/>
    <w:rsid w:val="0006036E"/>
    <w:rsid w:val="000620EC"/>
    <w:rsid w:val="00063573"/>
    <w:rsid w:val="00063798"/>
    <w:rsid w:val="00064BEA"/>
    <w:rsid w:val="000654FB"/>
    <w:rsid w:val="0006554A"/>
    <w:rsid w:val="0006594F"/>
    <w:rsid w:val="000670F4"/>
    <w:rsid w:val="00067FFB"/>
    <w:rsid w:val="0007019C"/>
    <w:rsid w:val="000702F7"/>
    <w:rsid w:val="00071BCC"/>
    <w:rsid w:val="0007299E"/>
    <w:rsid w:val="000754AE"/>
    <w:rsid w:val="0007568D"/>
    <w:rsid w:val="00075B8F"/>
    <w:rsid w:val="00077266"/>
    <w:rsid w:val="00077BBB"/>
    <w:rsid w:val="000804B1"/>
    <w:rsid w:val="0008066E"/>
    <w:rsid w:val="00080759"/>
    <w:rsid w:val="00080A1B"/>
    <w:rsid w:val="0008191C"/>
    <w:rsid w:val="0008191D"/>
    <w:rsid w:val="00081C9E"/>
    <w:rsid w:val="00082888"/>
    <w:rsid w:val="00083E44"/>
    <w:rsid w:val="00083E72"/>
    <w:rsid w:val="00085A0F"/>
    <w:rsid w:val="00086A98"/>
    <w:rsid w:val="00086E23"/>
    <w:rsid w:val="00087783"/>
    <w:rsid w:val="000878A9"/>
    <w:rsid w:val="00087D8A"/>
    <w:rsid w:val="00090288"/>
    <w:rsid w:val="00091639"/>
    <w:rsid w:val="00091B3C"/>
    <w:rsid w:val="000940E5"/>
    <w:rsid w:val="000941AD"/>
    <w:rsid w:val="00094220"/>
    <w:rsid w:val="000942E6"/>
    <w:rsid w:val="00094D81"/>
    <w:rsid w:val="0009586F"/>
    <w:rsid w:val="000968CB"/>
    <w:rsid w:val="00096DA8"/>
    <w:rsid w:val="00097175"/>
    <w:rsid w:val="00097921"/>
    <w:rsid w:val="000A0FC3"/>
    <w:rsid w:val="000A110D"/>
    <w:rsid w:val="000A1C54"/>
    <w:rsid w:val="000A1D1A"/>
    <w:rsid w:val="000A26E9"/>
    <w:rsid w:val="000A2C42"/>
    <w:rsid w:val="000A49D4"/>
    <w:rsid w:val="000A4EA0"/>
    <w:rsid w:val="000A5ED6"/>
    <w:rsid w:val="000A6136"/>
    <w:rsid w:val="000A7002"/>
    <w:rsid w:val="000A72D5"/>
    <w:rsid w:val="000B04D5"/>
    <w:rsid w:val="000B0D82"/>
    <w:rsid w:val="000B23B9"/>
    <w:rsid w:val="000B27A4"/>
    <w:rsid w:val="000B2CBA"/>
    <w:rsid w:val="000B32B2"/>
    <w:rsid w:val="000B3E97"/>
    <w:rsid w:val="000B46B5"/>
    <w:rsid w:val="000B5F7E"/>
    <w:rsid w:val="000B636E"/>
    <w:rsid w:val="000B66DB"/>
    <w:rsid w:val="000B7705"/>
    <w:rsid w:val="000B7ACB"/>
    <w:rsid w:val="000C094E"/>
    <w:rsid w:val="000C1F55"/>
    <w:rsid w:val="000C3232"/>
    <w:rsid w:val="000C63A0"/>
    <w:rsid w:val="000C6E80"/>
    <w:rsid w:val="000D0342"/>
    <w:rsid w:val="000D0AEC"/>
    <w:rsid w:val="000D1979"/>
    <w:rsid w:val="000D20E0"/>
    <w:rsid w:val="000D2573"/>
    <w:rsid w:val="000D6297"/>
    <w:rsid w:val="000D695E"/>
    <w:rsid w:val="000D6BA7"/>
    <w:rsid w:val="000D6CCE"/>
    <w:rsid w:val="000D71E6"/>
    <w:rsid w:val="000E02E3"/>
    <w:rsid w:val="000E0752"/>
    <w:rsid w:val="000E0F1B"/>
    <w:rsid w:val="000E1D3B"/>
    <w:rsid w:val="000E21A7"/>
    <w:rsid w:val="000E2298"/>
    <w:rsid w:val="000E2E58"/>
    <w:rsid w:val="000E4406"/>
    <w:rsid w:val="000E74A6"/>
    <w:rsid w:val="000F1112"/>
    <w:rsid w:val="000F3456"/>
    <w:rsid w:val="000F6932"/>
    <w:rsid w:val="000F77D2"/>
    <w:rsid w:val="00100BB2"/>
    <w:rsid w:val="00100FED"/>
    <w:rsid w:val="00101099"/>
    <w:rsid w:val="0010183A"/>
    <w:rsid w:val="00101D6F"/>
    <w:rsid w:val="00101EE7"/>
    <w:rsid w:val="00102A40"/>
    <w:rsid w:val="00102E51"/>
    <w:rsid w:val="00105CBC"/>
    <w:rsid w:val="00105D2C"/>
    <w:rsid w:val="0010710A"/>
    <w:rsid w:val="0010775B"/>
    <w:rsid w:val="0011038F"/>
    <w:rsid w:val="00110BB7"/>
    <w:rsid w:val="0011190A"/>
    <w:rsid w:val="00111B8A"/>
    <w:rsid w:val="00111D28"/>
    <w:rsid w:val="00112658"/>
    <w:rsid w:val="00113BF8"/>
    <w:rsid w:val="00113EF9"/>
    <w:rsid w:val="00114059"/>
    <w:rsid w:val="0011448E"/>
    <w:rsid w:val="001151FF"/>
    <w:rsid w:val="00117581"/>
    <w:rsid w:val="00117D39"/>
    <w:rsid w:val="00120EC0"/>
    <w:rsid w:val="00121410"/>
    <w:rsid w:val="00121B7A"/>
    <w:rsid w:val="00122D82"/>
    <w:rsid w:val="00125A7D"/>
    <w:rsid w:val="00125AFC"/>
    <w:rsid w:val="00125DD1"/>
    <w:rsid w:val="001266C9"/>
    <w:rsid w:val="00126BF1"/>
    <w:rsid w:val="001273E9"/>
    <w:rsid w:val="0012770F"/>
    <w:rsid w:val="00130446"/>
    <w:rsid w:val="00130853"/>
    <w:rsid w:val="00130E1C"/>
    <w:rsid w:val="00130EF8"/>
    <w:rsid w:val="00131672"/>
    <w:rsid w:val="00131DE9"/>
    <w:rsid w:val="00131EAD"/>
    <w:rsid w:val="00133FEE"/>
    <w:rsid w:val="00135434"/>
    <w:rsid w:val="00136441"/>
    <w:rsid w:val="001365BD"/>
    <w:rsid w:val="00136ABA"/>
    <w:rsid w:val="00141AB8"/>
    <w:rsid w:val="00141DED"/>
    <w:rsid w:val="001428B1"/>
    <w:rsid w:val="0014294F"/>
    <w:rsid w:val="001459F4"/>
    <w:rsid w:val="00145AB2"/>
    <w:rsid w:val="001460A1"/>
    <w:rsid w:val="00146D03"/>
    <w:rsid w:val="001476F9"/>
    <w:rsid w:val="00152383"/>
    <w:rsid w:val="001523F9"/>
    <w:rsid w:val="001527D6"/>
    <w:rsid w:val="00153F31"/>
    <w:rsid w:val="00155024"/>
    <w:rsid w:val="001558AF"/>
    <w:rsid w:val="00156429"/>
    <w:rsid w:val="00160194"/>
    <w:rsid w:val="00160F98"/>
    <w:rsid w:val="001627E0"/>
    <w:rsid w:val="00162B72"/>
    <w:rsid w:val="00162E08"/>
    <w:rsid w:val="00163673"/>
    <w:rsid w:val="00163E49"/>
    <w:rsid w:val="00165F00"/>
    <w:rsid w:val="00167AA0"/>
    <w:rsid w:val="001704B1"/>
    <w:rsid w:val="00170B2D"/>
    <w:rsid w:val="00172A27"/>
    <w:rsid w:val="0017618D"/>
    <w:rsid w:val="00177495"/>
    <w:rsid w:val="001778A3"/>
    <w:rsid w:val="0018108D"/>
    <w:rsid w:val="00181F68"/>
    <w:rsid w:val="0018241E"/>
    <w:rsid w:val="00182F49"/>
    <w:rsid w:val="001834AF"/>
    <w:rsid w:val="00183964"/>
    <w:rsid w:val="00184C03"/>
    <w:rsid w:val="00184D8E"/>
    <w:rsid w:val="00185084"/>
    <w:rsid w:val="00185382"/>
    <w:rsid w:val="001873A4"/>
    <w:rsid w:val="0019085C"/>
    <w:rsid w:val="00193C67"/>
    <w:rsid w:val="00193F77"/>
    <w:rsid w:val="00196195"/>
    <w:rsid w:val="001A0A51"/>
    <w:rsid w:val="001A0F95"/>
    <w:rsid w:val="001A14D9"/>
    <w:rsid w:val="001A1EE5"/>
    <w:rsid w:val="001A22EF"/>
    <w:rsid w:val="001A74A3"/>
    <w:rsid w:val="001B0335"/>
    <w:rsid w:val="001B0437"/>
    <w:rsid w:val="001B0BA6"/>
    <w:rsid w:val="001B5003"/>
    <w:rsid w:val="001B552E"/>
    <w:rsid w:val="001B5B87"/>
    <w:rsid w:val="001B5D4E"/>
    <w:rsid w:val="001B5F6D"/>
    <w:rsid w:val="001B6621"/>
    <w:rsid w:val="001B6918"/>
    <w:rsid w:val="001B76CF"/>
    <w:rsid w:val="001B79D9"/>
    <w:rsid w:val="001C0167"/>
    <w:rsid w:val="001C0506"/>
    <w:rsid w:val="001C0908"/>
    <w:rsid w:val="001C0BC9"/>
    <w:rsid w:val="001C1280"/>
    <w:rsid w:val="001C12E9"/>
    <w:rsid w:val="001C340B"/>
    <w:rsid w:val="001C4210"/>
    <w:rsid w:val="001C49B2"/>
    <w:rsid w:val="001C5897"/>
    <w:rsid w:val="001C60FF"/>
    <w:rsid w:val="001C6BB2"/>
    <w:rsid w:val="001C6D56"/>
    <w:rsid w:val="001C6DF0"/>
    <w:rsid w:val="001C6F65"/>
    <w:rsid w:val="001C7086"/>
    <w:rsid w:val="001C7A55"/>
    <w:rsid w:val="001C7D1B"/>
    <w:rsid w:val="001D0D46"/>
    <w:rsid w:val="001D17E0"/>
    <w:rsid w:val="001D2A16"/>
    <w:rsid w:val="001D428F"/>
    <w:rsid w:val="001D4328"/>
    <w:rsid w:val="001D436E"/>
    <w:rsid w:val="001D4D39"/>
    <w:rsid w:val="001D5182"/>
    <w:rsid w:val="001D5C6F"/>
    <w:rsid w:val="001D6188"/>
    <w:rsid w:val="001D6D6C"/>
    <w:rsid w:val="001D71BA"/>
    <w:rsid w:val="001E011A"/>
    <w:rsid w:val="001E01C8"/>
    <w:rsid w:val="001E106A"/>
    <w:rsid w:val="001E1E99"/>
    <w:rsid w:val="001E20F2"/>
    <w:rsid w:val="001E35E9"/>
    <w:rsid w:val="001E37D6"/>
    <w:rsid w:val="001E3ACD"/>
    <w:rsid w:val="001E58E5"/>
    <w:rsid w:val="001E5FBC"/>
    <w:rsid w:val="001E6CFB"/>
    <w:rsid w:val="001E775C"/>
    <w:rsid w:val="001F0DF9"/>
    <w:rsid w:val="001F1C7B"/>
    <w:rsid w:val="001F36DF"/>
    <w:rsid w:val="001F3DD8"/>
    <w:rsid w:val="001F4D3C"/>
    <w:rsid w:val="001F7331"/>
    <w:rsid w:val="00200139"/>
    <w:rsid w:val="002018D0"/>
    <w:rsid w:val="00201B8F"/>
    <w:rsid w:val="00202DBF"/>
    <w:rsid w:val="00202E29"/>
    <w:rsid w:val="0020368E"/>
    <w:rsid w:val="002038B2"/>
    <w:rsid w:val="0020508F"/>
    <w:rsid w:val="0020513B"/>
    <w:rsid w:val="002060F9"/>
    <w:rsid w:val="00207585"/>
    <w:rsid w:val="00207F77"/>
    <w:rsid w:val="00212788"/>
    <w:rsid w:val="00212E2E"/>
    <w:rsid w:val="002158DF"/>
    <w:rsid w:val="002159B3"/>
    <w:rsid w:val="00216375"/>
    <w:rsid w:val="002164AB"/>
    <w:rsid w:val="002165FD"/>
    <w:rsid w:val="002172EF"/>
    <w:rsid w:val="0022060B"/>
    <w:rsid w:val="0022273E"/>
    <w:rsid w:val="00222D3A"/>
    <w:rsid w:val="002239B6"/>
    <w:rsid w:val="00223DE9"/>
    <w:rsid w:val="00224519"/>
    <w:rsid w:val="00224669"/>
    <w:rsid w:val="00224CDD"/>
    <w:rsid w:val="002261DF"/>
    <w:rsid w:val="002269CC"/>
    <w:rsid w:val="002278A1"/>
    <w:rsid w:val="0023313A"/>
    <w:rsid w:val="00235D72"/>
    <w:rsid w:val="00235E79"/>
    <w:rsid w:val="00236BF5"/>
    <w:rsid w:val="00237066"/>
    <w:rsid w:val="0023766E"/>
    <w:rsid w:val="00237892"/>
    <w:rsid w:val="00237A33"/>
    <w:rsid w:val="00237E3D"/>
    <w:rsid w:val="002404CD"/>
    <w:rsid w:val="002407EF"/>
    <w:rsid w:val="002410A9"/>
    <w:rsid w:val="002417E0"/>
    <w:rsid w:val="00242A2B"/>
    <w:rsid w:val="00243E9D"/>
    <w:rsid w:val="002448A2"/>
    <w:rsid w:val="002500C0"/>
    <w:rsid w:val="00250843"/>
    <w:rsid w:val="00250DA1"/>
    <w:rsid w:val="002525A9"/>
    <w:rsid w:val="00252E40"/>
    <w:rsid w:val="00253413"/>
    <w:rsid w:val="00253B55"/>
    <w:rsid w:val="00255456"/>
    <w:rsid w:val="00256937"/>
    <w:rsid w:val="0025737F"/>
    <w:rsid w:val="00261916"/>
    <w:rsid w:val="00261FAA"/>
    <w:rsid w:val="002624EE"/>
    <w:rsid w:val="00265A49"/>
    <w:rsid w:val="00266303"/>
    <w:rsid w:val="002668CE"/>
    <w:rsid w:val="00270079"/>
    <w:rsid w:val="002726EA"/>
    <w:rsid w:val="002736A7"/>
    <w:rsid w:val="002742A1"/>
    <w:rsid w:val="00274536"/>
    <w:rsid w:val="00275458"/>
    <w:rsid w:val="002758B4"/>
    <w:rsid w:val="00276612"/>
    <w:rsid w:val="002771F8"/>
    <w:rsid w:val="0028019A"/>
    <w:rsid w:val="0028042E"/>
    <w:rsid w:val="002805ED"/>
    <w:rsid w:val="00281A2B"/>
    <w:rsid w:val="002822B7"/>
    <w:rsid w:val="002836B6"/>
    <w:rsid w:val="002838CE"/>
    <w:rsid w:val="00283E36"/>
    <w:rsid w:val="00285E36"/>
    <w:rsid w:val="00286620"/>
    <w:rsid w:val="00287CBE"/>
    <w:rsid w:val="00290ACD"/>
    <w:rsid w:val="00291631"/>
    <w:rsid w:val="002927F6"/>
    <w:rsid w:val="00292C3D"/>
    <w:rsid w:val="00294544"/>
    <w:rsid w:val="002948D0"/>
    <w:rsid w:val="0029521B"/>
    <w:rsid w:val="00296E23"/>
    <w:rsid w:val="00297095"/>
    <w:rsid w:val="00297694"/>
    <w:rsid w:val="002A2F3A"/>
    <w:rsid w:val="002A3016"/>
    <w:rsid w:val="002A3EF0"/>
    <w:rsid w:val="002A51CE"/>
    <w:rsid w:val="002A7373"/>
    <w:rsid w:val="002A7FEE"/>
    <w:rsid w:val="002B094C"/>
    <w:rsid w:val="002B1C5C"/>
    <w:rsid w:val="002B2FB4"/>
    <w:rsid w:val="002B3240"/>
    <w:rsid w:val="002B5CA3"/>
    <w:rsid w:val="002B65AA"/>
    <w:rsid w:val="002B6D93"/>
    <w:rsid w:val="002B77DE"/>
    <w:rsid w:val="002B782F"/>
    <w:rsid w:val="002B7F55"/>
    <w:rsid w:val="002C134E"/>
    <w:rsid w:val="002C1F97"/>
    <w:rsid w:val="002C31A0"/>
    <w:rsid w:val="002C37BB"/>
    <w:rsid w:val="002C3894"/>
    <w:rsid w:val="002C39E5"/>
    <w:rsid w:val="002C3BEC"/>
    <w:rsid w:val="002C53F2"/>
    <w:rsid w:val="002C5682"/>
    <w:rsid w:val="002C6849"/>
    <w:rsid w:val="002D081E"/>
    <w:rsid w:val="002D1308"/>
    <w:rsid w:val="002D334D"/>
    <w:rsid w:val="002D478F"/>
    <w:rsid w:val="002D777E"/>
    <w:rsid w:val="002D7D88"/>
    <w:rsid w:val="002E0260"/>
    <w:rsid w:val="002E0C48"/>
    <w:rsid w:val="002E103C"/>
    <w:rsid w:val="002E17B4"/>
    <w:rsid w:val="002E1CD7"/>
    <w:rsid w:val="002E2AF6"/>
    <w:rsid w:val="002E2EC4"/>
    <w:rsid w:val="002E42CE"/>
    <w:rsid w:val="002E4309"/>
    <w:rsid w:val="002E684C"/>
    <w:rsid w:val="002E77CC"/>
    <w:rsid w:val="002E7895"/>
    <w:rsid w:val="002F065B"/>
    <w:rsid w:val="002F0D7A"/>
    <w:rsid w:val="002F22B0"/>
    <w:rsid w:val="002F267A"/>
    <w:rsid w:val="002F37BE"/>
    <w:rsid w:val="002F3CE3"/>
    <w:rsid w:val="002F4080"/>
    <w:rsid w:val="002F40F0"/>
    <w:rsid w:val="002F5710"/>
    <w:rsid w:val="002F6865"/>
    <w:rsid w:val="002F75FD"/>
    <w:rsid w:val="002F78AC"/>
    <w:rsid w:val="00302EA6"/>
    <w:rsid w:val="003035CD"/>
    <w:rsid w:val="00303C00"/>
    <w:rsid w:val="0030418A"/>
    <w:rsid w:val="0030479D"/>
    <w:rsid w:val="00304970"/>
    <w:rsid w:val="003049F0"/>
    <w:rsid w:val="00305F95"/>
    <w:rsid w:val="00306F98"/>
    <w:rsid w:val="00307116"/>
    <w:rsid w:val="0031050C"/>
    <w:rsid w:val="00310921"/>
    <w:rsid w:val="00311E73"/>
    <w:rsid w:val="00312769"/>
    <w:rsid w:val="00313786"/>
    <w:rsid w:val="003144F0"/>
    <w:rsid w:val="00317A3E"/>
    <w:rsid w:val="00320B0F"/>
    <w:rsid w:val="00321D75"/>
    <w:rsid w:val="00321E71"/>
    <w:rsid w:val="00321E88"/>
    <w:rsid w:val="00323B34"/>
    <w:rsid w:val="003252D2"/>
    <w:rsid w:val="003263E9"/>
    <w:rsid w:val="00327166"/>
    <w:rsid w:val="003304B2"/>
    <w:rsid w:val="00330AA3"/>
    <w:rsid w:val="00330FF2"/>
    <w:rsid w:val="003316FF"/>
    <w:rsid w:val="00332ABB"/>
    <w:rsid w:val="00332B87"/>
    <w:rsid w:val="003331E0"/>
    <w:rsid w:val="00334B3E"/>
    <w:rsid w:val="00334EC0"/>
    <w:rsid w:val="00335D28"/>
    <w:rsid w:val="00335E0B"/>
    <w:rsid w:val="00337E42"/>
    <w:rsid w:val="00341ADD"/>
    <w:rsid w:val="00341EE5"/>
    <w:rsid w:val="00342CA1"/>
    <w:rsid w:val="00342F01"/>
    <w:rsid w:val="00343674"/>
    <w:rsid w:val="00343C2E"/>
    <w:rsid w:val="00343E23"/>
    <w:rsid w:val="00343E62"/>
    <w:rsid w:val="00343E76"/>
    <w:rsid w:val="003440C3"/>
    <w:rsid w:val="00344255"/>
    <w:rsid w:val="00344C06"/>
    <w:rsid w:val="00346D1F"/>
    <w:rsid w:val="003470F2"/>
    <w:rsid w:val="00350112"/>
    <w:rsid w:val="00351D2E"/>
    <w:rsid w:val="0035295E"/>
    <w:rsid w:val="00352A80"/>
    <w:rsid w:val="00352B0A"/>
    <w:rsid w:val="003530C1"/>
    <w:rsid w:val="00353AF6"/>
    <w:rsid w:val="003549E5"/>
    <w:rsid w:val="00357066"/>
    <w:rsid w:val="003609B8"/>
    <w:rsid w:val="00360B8E"/>
    <w:rsid w:val="003610FD"/>
    <w:rsid w:val="0036114B"/>
    <w:rsid w:val="00361BA3"/>
    <w:rsid w:val="00363780"/>
    <w:rsid w:val="003649A7"/>
    <w:rsid w:val="00364CBE"/>
    <w:rsid w:val="00364DFB"/>
    <w:rsid w:val="003652EA"/>
    <w:rsid w:val="003664BD"/>
    <w:rsid w:val="00367723"/>
    <w:rsid w:val="00371717"/>
    <w:rsid w:val="003718E0"/>
    <w:rsid w:val="00372112"/>
    <w:rsid w:val="00372113"/>
    <w:rsid w:val="003722BE"/>
    <w:rsid w:val="003730D7"/>
    <w:rsid w:val="00373D11"/>
    <w:rsid w:val="00374A1D"/>
    <w:rsid w:val="00377B89"/>
    <w:rsid w:val="00381541"/>
    <w:rsid w:val="00381F63"/>
    <w:rsid w:val="00382F0B"/>
    <w:rsid w:val="00386186"/>
    <w:rsid w:val="003907C8"/>
    <w:rsid w:val="00390FE9"/>
    <w:rsid w:val="00391864"/>
    <w:rsid w:val="0039187F"/>
    <w:rsid w:val="00391CE0"/>
    <w:rsid w:val="00393209"/>
    <w:rsid w:val="00393973"/>
    <w:rsid w:val="00393C5E"/>
    <w:rsid w:val="00393E61"/>
    <w:rsid w:val="0039449B"/>
    <w:rsid w:val="0039475A"/>
    <w:rsid w:val="0039490F"/>
    <w:rsid w:val="003A001C"/>
    <w:rsid w:val="003A062F"/>
    <w:rsid w:val="003A0BC4"/>
    <w:rsid w:val="003A150F"/>
    <w:rsid w:val="003A31A1"/>
    <w:rsid w:val="003A31A5"/>
    <w:rsid w:val="003A513B"/>
    <w:rsid w:val="003A6DE8"/>
    <w:rsid w:val="003B03AF"/>
    <w:rsid w:val="003B0BDD"/>
    <w:rsid w:val="003B1282"/>
    <w:rsid w:val="003B1F77"/>
    <w:rsid w:val="003B2DE9"/>
    <w:rsid w:val="003B3BA1"/>
    <w:rsid w:val="003B44BD"/>
    <w:rsid w:val="003B45D3"/>
    <w:rsid w:val="003B498A"/>
    <w:rsid w:val="003B58F2"/>
    <w:rsid w:val="003B64C5"/>
    <w:rsid w:val="003B680E"/>
    <w:rsid w:val="003B6B51"/>
    <w:rsid w:val="003B7815"/>
    <w:rsid w:val="003B7F75"/>
    <w:rsid w:val="003C03D7"/>
    <w:rsid w:val="003C1C33"/>
    <w:rsid w:val="003C20CC"/>
    <w:rsid w:val="003C3A2A"/>
    <w:rsid w:val="003C3B69"/>
    <w:rsid w:val="003C3FAC"/>
    <w:rsid w:val="003C6604"/>
    <w:rsid w:val="003C6AC7"/>
    <w:rsid w:val="003C6ADB"/>
    <w:rsid w:val="003C6D77"/>
    <w:rsid w:val="003D073D"/>
    <w:rsid w:val="003D0EF1"/>
    <w:rsid w:val="003D14FE"/>
    <w:rsid w:val="003D2BDD"/>
    <w:rsid w:val="003D340D"/>
    <w:rsid w:val="003D3900"/>
    <w:rsid w:val="003D50AB"/>
    <w:rsid w:val="003D52C5"/>
    <w:rsid w:val="003D60FA"/>
    <w:rsid w:val="003D65D2"/>
    <w:rsid w:val="003D7C8B"/>
    <w:rsid w:val="003D7E81"/>
    <w:rsid w:val="003E1694"/>
    <w:rsid w:val="003E16F7"/>
    <w:rsid w:val="003E2644"/>
    <w:rsid w:val="003E3F84"/>
    <w:rsid w:val="003E5448"/>
    <w:rsid w:val="003E6150"/>
    <w:rsid w:val="003E705B"/>
    <w:rsid w:val="003E70DD"/>
    <w:rsid w:val="003E73FE"/>
    <w:rsid w:val="003F0828"/>
    <w:rsid w:val="003F090D"/>
    <w:rsid w:val="003F24FC"/>
    <w:rsid w:val="003F2676"/>
    <w:rsid w:val="003F3BD6"/>
    <w:rsid w:val="003F6BAB"/>
    <w:rsid w:val="003F73F2"/>
    <w:rsid w:val="003F7B84"/>
    <w:rsid w:val="004004E0"/>
    <w:rsid w:val="004021F9"/>
    <w:rsid w:val="004025C2"/>
    <w:rsid w:val="00402B74"/>
    <w:rsid w:val="00402F89"/>
    <w:rsid w:val="00402FD8"/>
    <w:rsid w:val="0040478D"/>
    <w:rsid w:val="00404B3F"/>
    <w:rsid w:val="004054A0"/>
    <w:rsid w:val="00406E16"/>
    <w:rsid w:val="004071AA"/>
    <w:rsid w:val="0040730A"/>
    <w:rsid w:val="00410007"/>
    <w:rsid w:val="0041030E"/>
    <w:rsid w:val="0041380D"/>
    <w:rsid w:val="0041490E"/>
    <w:rsid w:val="00414D51"/>
    <w:rsid w:val="00415C6A"/>
    <w:rsid w:val="004171CB"/>
    <w:rsid w:val="0042091A"/>
    <w:rsid w:val="00420B91"/>
    <w:rsid w:val="004227A3"/>
    <w:rsid w:val="00422CCA"/>
    <w:rsid w:val="00423009"/>
    <w:rsid w:val="004252B2"/>
    <w:rsid w:val="004259BF"/>
    <w:rsid w:val="004269DF"/>
    <w:rsid w:val="004271F1"/>
    <w:rsid w:val="004277E2"/>
    <w:rsid w:val="00427B92"/>
    <w:rsid w:val="00430358"/>
    <w:rsid w:val="0043040F"/>
    <w:rsid w:val="00432FC3"/>
    <w:rsid w:val="00433473"/>
    <w:rsid w:val="004335B8"/>
    <w:rsid w:val="0043400E"/>
    <w:rsid w:val="00435129"/>
    <w:rsid w:val="0043585A"/>
    <w:rsid w:val="00440724"/>
    <w:rsid w:val="00440B88"/>
    <w:rsid w:val="00440D38"/>
    <w:rsid w:val="004417EF"/>
    <w:rsid w:val="00441FB4"/>
    <w:rsid w:val="0044225F"/>
    <w:rsid w:val="00442884"/>
    <w:rsid w:val="004430D3"/>
    <w:rsid w:val="00444770"/>
    <w:rsid w:val="00446BF0"/>
    <w:rsid w:val="00451479"/>
    <w:rsid w:val="004524A9"/>
    <w:rsid w:val="004548A1"/>
    <w:rsid w:val="00454A94"/>
    <w:rsid w:val="004563C8"/>
    <w:rsid w:val="004605AA"/>
    <w:rsid w:val="00461AF1"/>
    <w:rsid w:val="0046329E"/>
    <w:rsid w:val="004645B4"/>
    <w:rsid w:val="00464916"/>
    <w:rsid w:val="00464D5F"/>
    <w:rsid w:val="00465552"/>
    <w:rsid w:val="00465A1F"/>
    <w:rsid w:val="00467A3B"/>
    <w:rsid w:val="00467DA8"/>
    <w:rsid w:val="00470B04"/>
    <w:rsid w:val="00470BBE"/>
    <w:rsid w:val="00472501"/>
    <w:rsid w:val="004741A0"/>
    <w:rsid w:val="00474523"/>
    <w:rsid w:val="004748BC"/>
    <w:rsid w:val="00474E05"/>
    <w:rsid w:val="004750CD"/>
    <w:rsid w:val="0047555E"/>
    <w:rsid w:val="0047558E"/>
    <w:rsid w:val="0047698A"/>
    <w:rsid w:val="0047735A"/>
    <w:rsid w:val="004803AE"/>
    <w:rsid w:val="00481822"/>
    <w:rsid w:val="00482808"/>
    <w:rsid w:val="004863FE"/>
    <w:rsid w:val="00487A30"/>
    <w:rsid w:val="00490705"/>
    <w:rsid w:val="00491DD6"/>
    <w:rsid w:val="0049395F"/>
    <w:rsid w:val="004939D7"/>
    <w:rsid w:val="00493D95"/>
    <w:rsid w:val="004955FB"/>
    <w:rsid w:val="0049592A"/>
    <w:rsid w:val="004963D1"/>
    <w:rsid w:val="00497400"/>
    <w:rsid w:val="004A0E1B"/>
    <w:rsid w:val="004A0F0C"/>
    <w:rsid w:val="004A1A08"/>
    <w:rsid w:val="004A46B1"/>
    <w:rsid w:val="004A52DE"/>
    <w:rsid w:val="004A760E"/>
    <w:rsid w:val="004A7C93"/>
    <w:rsid w:val="004B08C8"/>
    <w:rsid w:val="004B20D4"/>
    <w:rsid w:val="004B4385"/>
    <w:rsid w:val="004B4C97"/>
    <w:rsid w:val="004B65A3"/>
    <w:rsid w:val="004C31EE"/>
    <w:rsid w:val="004C32AB"/>
    <w:rsid w:val="004C457A"/>
    <w:rsid w:val="004C649A"/>
    <w:rsid w:val="004D0328"/>
    <w:rsid w:val="004D0B3E"/>
    <w:rsid w:val="004D2FAB"/>
    <w:rsid w:val="004D3035"/>
    <w:rsid w:val="004D3707"/>
    <w:rsid w:val="004D39A8"/>
    <w:rsid w:val="004D4615"/>
    <w:rsid w:val="004D570C"/>
    <w:rsid w:val="004D57B9"/>
    <w:rsid w:val="004D5D54"/>
    <w:rsid w:val="004D6D30"/>
    <w:rsid w:val="004E2224"/>
    <w:rsid w:val="004E22AC"/>
    <w:rsid w:val="004E30FC"/>
    <w:rsid w:val="004E38E1"/>
    <w:rsid w:val="004E3E9A"/>
    <w:rsid w:val="004E50EC"/>
    <w:rsid w:val="004E588E"/>
    <w:rsid w:val="004E5A2B"/>
    <w:rsid w:val="004E6D3C"/>
    <w:rsid w:val="004E7822"/>
    <w:rsid w:val="004E7D23"/>
    <w:rsid w:val="004F00AD"/>
    <w:rsid w:val="004F2E16"/>
    <w:rsid w:val="004F5A08"/>
    <w:rsid w:val="004F63D5"/>
    <w:rsid w:val="004F651A"/>
    <w:rsid w:val="004F6971"/>
    <w:rsid w:val="005008AD"/>
    <w:rsid w:val="00500D2D"/>
    <w:rsid w:val="005011E3"/>
    <w:rsid w:val="00501B59"/>
    <w:rsid w:val="00503DE1"/>
    <w:rsid w:val="00504BD3"/>
    <w:rsid w:val="00505964"/>
    <w:rsid w:val="00506A63"/>
    <w:rsid w:val="0051084C"/>
    <w:rsid w:val="005111E5"/>
    <w:rsid w:val="00511409"/>
    <w:rsid w:val="005118B7"/>
    <w:rsid w:val="005124EA"/>
    <w:rsid w:val="00512E82"/>
    <w:rsid w:val="00513169"/>
    <w:rsid w:val="00513525"/>
    <w:rsid w:val="00513980"/>
    <w:rsid w:val="00514CAC"/>
    <w:rsid w:val="00515A2D"/>
    <w:rsid w:val="00521E7C"/>
    <w:rsid w:val="00522440"/>
    <w:rsid w:val="00522BB8"/>
    <w:rsid w:val="00523053"/>
    <w:rsid w:val="00523641"/>
    <w:rsid w:val="00525C8E"/>
    <w:rsid w:val="00526333"/>
    <w:rsid w:val="005300B4"/>
    <w:rsid w:val="00532701"/>
    <w:rsid w:val="00534E1A"/>
    <w:rsid w:val="00535486"/>
    <w:rsid w:val="005361DA"/>
    <w:rsid w:val="00536B44"/>
    <w:rsid w:val="00537E11"/>
    <w:rsid w:val="005401BE"/>
    <w:rsid w:val="00540A82"/>
    <w:rsid w:val="00541266"/>
    <w:rsid w:val="0054140A"/>
    <w:rsid w:val="0054149A"/>
    <w:rsid w:val="0054187C"/>
    <w:rsid w:val="00542B30"/>
    <w:rsid w:val="005438E1"/>
    <w:rsid w:val="00543906"/>
    <w:rsid w:val="00543949"/>
    <w:rsid w:val="00544632"/>
    <w:rsid w:val="00544B28"/>
    <w:rsid w:val="005466D6"/>
    <w:rsid w:val="00547BBD"/>
    <w:rsid w:val="00547D67"/>
    <w:rsid w:val="005501EB"/>
    <w:rsid w:val="00550C02"/>
    <w:rsid w:val="005544F8"/>
    <w:rsid w:val="00554DFE"/>
    <w:rsid w:val="005565DF"/>
    <w:rsid w:val="005572D1"/>
    <w:rsid w:val="005606F5"/>
    <w:rsid w:val="00560804"/>
    <w:rsid w:val="00560AD8"/>
    <w:rsid w:val="00560EC6"/>
    <w:rsid w:val="00561B97"/>
    <w:rsid w:val="00561D8F"/>
    <w:rsid w:val="005621C8"/>
    <w:rsid w:val="005627A8"/>
    <w:rsid w:val="00562F35"/>
    <w:rsid w:val="0056478A"/>
    <w:rsid w:val="00565080"/>
    <w:rsid w:val="0056670E"/>
    <w:rsid w:val="0057080D"/>
    <w:rsid w:val="00571ADF"/>
    <w:rsid w:val="00572908"/>
    <w:rsid w:val="00580EF5"/>
    <w:rsid w:val="00581159"/>
    <w:rsid w:val="005815D0"/>
    <w:rsid w:val="00583C33"/>
    <w:rsid w:val="00584131"/>
    <w:rsid w:val="0058483F"/>
    <w:rsid w:val="00585175"/>
    <w:rsid w:val="00585BC5"/>
    <w:rsid w:val="00586257"/>
    <w:rsid w:val="0059160D"/>
    <w:rsid w:val="00591D9A"/>
    <w:rsid w:val="0059452D"/>
    <w:rsid w:val="00595649"/>
    <w:rsid w:val="005960EE"/>
    <w:rsid w:val="0059686D"/>
    <w:rsid w:val="005A12E3"/>
    <w:rsid w:val="005A1341"/>
    <w:rsid w:val="005A60DE"/>
    <w:rsid w:val="005A7264"/>
    <w:rsid w:val="005B0953"/>
    <w:rsid w:val="005B3D0D"/>
    <w:rsid w:val="005B756E"/>
    <w:rsid w:val="005B760C"/>
    <w:rsid w:val="005C001B"/>
    <w:rsid w:val="005C0D0D"/>
    <w:rsid w:val="005C13E0"/>
    <w:rsid w:val="005C1A20"/>
    <w:rsid w:val="005C1B6C"/>
    <w:rsid w:val="005C217D"/>
    <w:rsid w:val="005C2DAF"/>
    <w:rsid w:val="005C3E37"/>
    <w:rsid w:val="005C5C75"/>
    <w:rsid w:val="005C61E7"/>
    <w:rsid w:val="005C7B36"/>
    <w:rsid w:val="005D0272"/>
    <w:rsid w:val="005D3A91"/>
    <w:rsid w:val="005D7028"/>
    <w:rsid w:val="005D7FCF"/>
    <w:rsid w:val="005E1460"/>
    <w:rsid w:val="005E23EC"/>
    <w:rsid w:val="005E26AB"/>
    <w:rsid w:val="005E286D"/>
    <w:rsid w:val="005E425E"/>
    <w:rsid w:val="005E4615"/>
    <w:rsid w:val="005E507F"/>
    <w:rsid w:val="005E751F"/>
    <w:rsid w:val="005F13EA"/>
    <w:rsid w:val="005F2E90"/>
    <w:rsid w:val="005F3323"/>
    <w:rsid w:val="005F351C"/>
    <w:rsid w:val="005F3558"/>
    <w:rsid w:val="005F39B1"/>
    <w:rsid w:val="005F4D52"/>
    <w:rsid w:val="005F4ECC"/>
    <w:rsid w:val="005F5681"/>
    <w:rsid w:val="00600869"/>
    <w:rsid w:val="00600E6E"/>
    <w:rsid w:val="00601DF2"/>
    <w:rsid w:val="00601FE2"/>
    <w:rsid w:val="0060540A"/>
    <w:rsid w:val="00606085"/>
    <w:rsid w:val="006060F6"/>
    <w:rsid w:val="006070DD"/>
    <w:rsid w:val="00607EE9"/>
    <w:rsid w:val="00610D4A"/>
    <w:rsid w:val="00611624"/>
    <w:rsid w:val="00612543"/>
    <w:rsid w:val="0061275C"/>
    <w:rsid w:val="0061457C"/>
    <w:rsid w:val="006153DE"/>
    <w:rsid w:val="00615472"/>
    <w:rsid w:val="0061753F"/>
    <w:rsid w:val="006178C4"/>
    <w:rsid w:val="00621A7B"/>
    <w:rsid w:val="00622A16"/>
    <w:rsid w:val="00622BA0"/>
    <w:rsid w:val="00623C03"/>
    <w:rsid w:val="00624F14"/>
    <w:rsid w:val="0062647D"/>
    <w:rsid w:val="00627346"/>
    <w:rsid w:val="00627DB0"/>
    <w:rsid w:val="00627EC7"/>
    <w:rsid w:val="00632AFA"/>
    <w:rsid w:val="006330EB"/>
    <w:rsid w:val="0063359D"/>
    <w:rsid w:val="0063372D"/>
    <w:rsid w:val="0063474E"/>
    <w:rsid w:val="00634899"/>
    <w:rsid w:val="00636863"/>
    <w:rsid w:val="00636A09"/>
    <w:rsid w:val="00637F6A"/>
    <w:rsid w:val="006449B0"/>
    <w:rsid w:val="0064576C"/>
    <w:rsid w:val="00645D85"/>
    <w:rsid w:val="00646046"/>
    <w:rsid w:val="00646683"/>
    <w:rsid w:val="00646BCE"/>
    <w:rsid w:val="006471FE"/>
    <w:rsid w:val="00647B5E"/>
    <w:rsid w:val="00650B1D"/>
    <w:rsid w:val="00650B77"/>
    <w:rsid w:val="00651EE7"/>
    <w:rsid w:val="00656156"/>
    <w:rsid w:val="006562CB"/>
    <w:rsid w:val="00656578"/>
    <w:rsid w:val="0065672F"/>
    <w:rsid w:val="00657AC6"/>
    <w:rsid w:val="0066090B"/>
    <w:rsid w:val="0066384A"/>
    <w:rsid w:val="00664179"/>
    <w:rsid w:val="006645C0"/>
    <w:rsid w:val="006645F3"/>
    <w:rsid w:val="00664CBE"/>
    <w:rsid w:val="00664D3D"/>
    <w:rsid w:val="00667218"/>
    <w:rsid w:val="00667282"/>
    <w:rsid w:val="00671319"/>
    <w:rsid w:val="00671956"/>
    <w:rsid w:val="00671F57"/>
    <w:rsid w:val="0067267D"/>
    <w:rsid w:val="00672B97"/>
    <w:rsid w:val="00673C53"/>
    <w:rsid w:val="00676E52"/>
    <w:rsid w:val="006776AF"/>
    <w:rsid w:val="00682106"/>
    <w:rsid w:val="0068475D"/>
    <w:rsid w:val="00685C6C"/>
    <w:rsid w:val="006863FE"/>
    <w:rsid w:val="006864DC"/>
    <w:rsid w:val="00687579"/>
    <w:rsid w:val="006878F2"/>
    <w:rsid w:val="00687D66"/>
    <w:rsid w:val="00690EA4"/>
    <w:rsid w:val="00691215"/>
    <w:rsid w:val="00692331"/>
    <w:rsid w:val="00692353"/>
    <w:rsid w:val="00694819"/>
    <w:rsid w:val="00694964"/>
    <w:rsid w:val="00695439"/>
    <w:rsid w:val="006957CB"/>
    <w:rsid w:val="0069651C"/>
    <w:rsid w:val="006A058B"/>
    <w:rsid w:val="006A10B4"/>
    <w:rsid w:val="006A2468"/>
    <w:rsid w:val="006A2887"/>
    <w:rsid w:val="006A416F"/>
    <w:rsid w:val="006A42DD"/>
    <w:rsid w:val="006A5EE8"/>
    <w:rsid w:val="006A687D"/>
    <w:rsid w:val="006A6D45"/>
    <w:rsid w:val="006B01A5"/>
    <w:rsid w:val="006B07A1"/>
    <w:rsid w:val="006B1784"/>
    <w:rsid w:val="006B30CE"/>
    <w:rsid w:val="006B322A"/>
    <w:rsid w:val="006B3342"/>
    <w:rsid w:val="006B4552"/>
    <w:rsid w:val="006B4E78"/>
    <w:rsid w:val="006B57B8"/>
    <w:rsid w:val="006B636B"/>
    <w:rsid w:val="006B7CCF"/>
    <w:rsid w:val="006B7E04"/>
    <w:rsid w:val="006C056F"/>
    <w:rsid w:val="006C0C51"/>
    <w:rsid w:val="006C2326"/>
    <w:rsid w:val="006C26FC"/>
    <w:rsid w:val="006C2A44"/>
    <w:rsid w:val="006C4260"/>
    <w:rsid w:val="006C4800"/>
    <w:rsid w:val="006C4B1B"/>
    <w:rsid w:val="006C4E24"/>
    <w:rsid w:val="006C6F0E"/>
    <w:rsid w:val="006C76ED"/>
    <w:rsid w:val="006C7897"/>
    <w:rsid w:val="006D1123"/>
    <w:rsid w:val="006D21F0"/>
    <w:rsid w:val="006D2C2D"/>
    <w:rsid w:val="006D47F4"/>
    <w:rsid w:val="006D62AD"/>
    <w:rsid w:val="006D7B3F"/>
    <w:rsid w:val="006D7F53"/>
    <w:rsid w:val="006E05A7"/>
    <w:rsid w:val="006E08EE"/>
    <w:rsid w:val="006E2EC5"/>
    <w:rsid w:val="006E312D"/>
    <w:rsid w:val="006E3CAE"/>
    <w:rsid w:val="006E618F"/>
    <w:rsid w:val="006E6E00"/>
    <w:rsid w:val="006E73CA"/>
    <w:rsid w:val="006E7894"/>
    <w:rsid w:val="006F0051"/>
    <w:rsid w:val="006F11E0"/>
    <w:rsid w:val="006F1239"/>
    <w:rsid w:val="006F2BEE"/>
    <w:rsid w:val="006F4D59"/>
    <w:rsid w:val="006F66D6"/>
    <w:rsid w:val="006F7056"/>
    <w:rsid w:val="006F75EB"/>
    <w:rsid w:val="00700681"/>
    <w:rsid w:val="00700C07"/>
    <w:rsid w:val="00700FFA"/>
    <w:rsid w:val="0070174F"/>
    <w:rsid w:val="00702F32"/>
    <w:rsid w:val="00703BEE"/>
    <w:rsid w:val="00704C20"/>
    <w:rsid w:val="0070567C"/>
    <w:rsid w:val="00705F48"/>
    <w:rsid w:val="00707FE8"/>
    <w:rsid w:val="00710B71"/>
    <w:rsid w:val="00710E72"/>
    <w:rsid w:val="00711566"/>
    <w:rsid w:val="00713157"/>
    <w:rsid w:val="007152E7"/>
    <w:rsid w:val="00715C66"/>
    <w:rsid w:val="00715D82"/>
    <w:rsid w:val="0071783E"/>
    <w:rsid w:val="00721175"/>
    <w:rsid w:val="00721265"/>
    <w:rsid w:val="00721E94"/>
    <w:rsid w:val="00722D7D"/>
    <w:rsid w:val="00722DAC"/>
    <w:rsid w:val="0072304F"/>
    <w:rsid w:val="0072405F"/>
    <w:rsid w:val="007243C5"/>
    <w:rsid w:val="0072501A"/>
    <w:rsid w:val="0072600F"/>
    <w:rsid w:val="007266F3"/>
    <w:rsid w:val="00727194"/>
    <w:rsid w:val="0072735B"/>
    <w:rsid w:val="00727FF2"/>
    <w:rsid w:val="00730893"/>
    <w:rsid w:val="00730E46"/>
    <w:rsid w:val="00731921"/>
    <w:rsid w:val="00732147"/>
    <w:rsid w:val="007321D8"/>
    <w:rsid w:val="00733C41"/>
    <w:rsid w:val="007343E9"/>
    <w:rsid w:val="00734F1C"/>
    <w:rsid w:val="0073631A"/>
    <w:rsid w:val="00736D2F"/>
    <w:rsid w:val="00741F27"/>
    <w:rsid w:val="0074248D"/>
    <w:rsid w:val="00742848"/>
    <w:rsid w:val="0074416F"/>
    <w:rsid w:val="0074418B"/>
    <w:rsid w:val="00744505"/>
    <w:rsid w:val="00744C5F"/>
    <w:rsid w:val="007456D6"/>
    <w:rsid w:val="0074573A"/>
    <w:rsid w:val="007537AE"/>
    <w:rsid w:val="00753BED"/>
    <w:rsid w:val="00757CEF"/>
    <w:rsid w:val="00760F72"/>
    <w:rsid w:val="007629C4"/>
    <w:rsid w:val="0076361D"/>
    <w:rsid w:val="00763D99"/>
    <w:rsid w:val="007643DC"/>
    <w:rsid w:val="007648D5"/>
    <w:rsid w:val="0076562C"/>
    <w:rsid w:val="00765F6D"/>
    <w:rsid w:val="00766070"/>
    <w:rsid w:val="00767290"/>
    <w:rsid w:val="00767C78"/>
    <w:rsid w:val="00770A29"/>
    <w:rsid w:val="00770A5E"/>
    <w:rsid w:val="00771C98"/>
    <w:rsid w:val="007727AE"/>
    <w:rsid w:val="00773FDF"/>
    <w:rsid w:val="0077523D"/>
    <w:rsid w:val="0077535A"/>
    <w:rsid w:val="00777111"/>
    <w:rsid w:val="00777306"/>
    <w:rsid w:val="00777D19"/>
    <w:rsid w:val="0078150D"/>
    <w:rsid w:val="00782F42"/>
    <w:rsid w:val="0078317A"/>
    <w:rsid w:val="007868D9"/>
    <w:rsid w:val="00786D0A"/>
    <w:rsid w:val="00787217"/>
    <w:rsid w:val="007878F1"/>
    <w:rsid w:val="0079018F"/>
    <w:rsid w:val="00790B96"/>
    <w:rsid w:val="00791BC8"/>
    <w:rsid w:val="00791E49"/>
    <w:rsid w:val="007934FC"/>
    <w:rsid w:val="00793897"/>
    <w:rsid w:val="007938FA"/>
    <w:rsid w:val="007943FF"/>
    <w:rsid w:val="007949CD"/>
    <w:rsid w:val="00794D8B"/>
    <w:rsid w:val="00795A18"/>
    <w:rsid w:val="00795AF7"/>
    <w:rsid w:val="007960F8"/>
    <w:rsid w:val="00797583"/>
    <w:rsid w:val="00797CE2"/>
    <w:rsid w:val="007A07C2"/>
    <w:rsid w:val="007A1616"/>
    <w:rsid w:val="007A19CC"/>
    <w:rsid w:val="007A1A12"/>
    <w:rsid w:val="007A1D32"/>
    <w:rsid w:val="007A261A"/>
    <w:rsid w:val="007A2A94"/>
    <w:rsid w:val="007A37C6"/>
    <w:rsid w:val="007A3A19"/>
    <w:rsid w:val="007A3AE6"/>
    <w:rsid w:val="007A4C0D"/>
    <w:rsid w:val="007A4E81"/>
    <w:rsid w:val="007A577C"/>
    <w:rsid w:val="007A6B4B"/>
    <w:rsid w:val="007A6B5E"/>
    <w:rsid w:val="007A7907"/>
    <w:rsid w:val="007B027E"/>
    <w:rsid w:val="007B1224"/>
    <w:rsid w:val="007B1E5A"/>
    <w:rsid w:val="007B26B9"/>
    <w:rsid w:val="007B28D2"/>
    <w:rsid w:val="007B2DD3"/>
    <w:rsid w:val="007B3502"/>
    <w:rsid w:val="007B395C"/>
    <w:rsid w:val="007B5C5D"/>
    <w:rsid w:val="007B5F22"/>
    <w:rsid w:val="007B6607"/>
    <w:rsid w:val="007C006C"/>
    <w:rsid w:val="007C09B6"/>
    <w:rsid w:val="007C14CC"/>
    <w:rsid w:val="007C2418"/>
    <w:rsid w:val="007C263D"/>
    <w:rsid w:val="007C4AB6"/>
    <w:rsid w:val="007C54D8"/>
    <w:rsid w:val="007C5CFB"/>
    <w:rsid w:val="007C614B"/>
    <w:rsid w:val="007C61F4"/>
    <w:rsid w:val="007C6301"/>
    <w:rsid w:val="007C768B"/>
    <w:rsid w:val="007D0D68"/>
    <w:rsid w:val="007D0F3C"/>
    <w:rsid w:val="007D1560"/>
    <w:rsid w:val="007D3809"/>
    <w:rsid w:val="007D4079"/>
    <w:rsid w:val="007E1D5D"/>
    <w:rsid w:val="007E23D8"/>
    <w:rsid w:val="007E3F80"/>
    <w:rsid w:val="007E4611"/>
    <w:rsid w:val="007E5C9C"/>
    <w:rsid w:val="007E6580"/>
    <w:rsid w:val="007E6766"/>
    <w:rsid w:val="007E77A9"/>
    <w:rsid w:val="007E7E29"/>
    <w:rsid w:val="007E7E68"/>
    <w:rsid w:val="007F0414"/>
    <w:rsid w:val="007F1A82"/>
    <w:rsid w:val="007F250E"/>
    <w:rsid w:val="007F263D"/>
    <w:rsid w:val="007F44E2"/>
    <w:rsid w:val="007F48B2"/>
    <w:rsid w:val="007F4C87"/>
    <w:rsid w:val="007F50CB"/>
    <w:rsid w:val="007F73A0"/>
    <w:rsid w:val="007F7AFD"/>
    <w:rsid w:val="00800956"/>
    <w:rsid w:val="00801D69"/>
    <w:rsid w:val="00803665"/>
    <w:rsid w:val="00803751"/>
    <w:rsid w:val="00804434"/>
    <w:rsid w:val="00805124"/>
    <w:rsid w:val="008055FD"/>
    <w:rsid w:val="008058E3"/>
    <w:rsid w:val="00806C61"/>
    <w:rsid w:val="00806E60"/>
    <w:rsid w:val="0080709A"/>
    <w:rsid w:val="00807E28"/>
    <w:rsid w:val="0081050A"/>
    <w:rsid w:val="00810750"/>
    <w:rsid w:val="008127CA"/>
    <w:rsid w:val="00812A19"/>
    <w:rsid w:val="00812A3E"/>
    <w:rsid w:val="00812D53"/>
    <w:rsid w:val="00814104"/>
    <w:rsid w:val="0081681E"/>
    <w:rsid w:val="008168C3"/>
    <w:rsid w:val="00820E3A"/>
    <w:rsid w:val="0082119F"/>
    <w:rsid w:val="0082138A"/>
    <w:rsid w:val="00825A75"/>
    <w:rsid w:val="00825D62"/>
    <w:rsid w:val="00826A51"/>
    <w:rsid w:val="00831B6A"/>
    <w:rsid w:val="00832042"/>
    <w:rsid w:val="0083268E"/>
    <w:rsid w:val="008341EF"/>
    <w:rsid w:val="00837EE9"/>
    <w:rsid w:val="00840678"/>
    <w:rsid w:val="00840F8C"/>
    <w:rsid w:val="008423BE"/>
    <w:rsid w:val="00843FDD"/>
    <w:rsid w:val="00844688"/>
    <w:rsid w:val="00844E44"/>
    <w:rsid w:val="008451AE"/>
    <w:rsid w:val="00851C06"/>
    <w:rsid w:val="0085256F"/>
    <w:rsid w:val="00854199"/>
    <w:rsid w:val="00854678"/>
    <w:rsid w:val="0085497D"/>
    <w:rsid w:val="008549DB"/>
    <w:rsid w:val="00854E70"/>
    <w:rsid w:val="00855BF6"/>
    <w:rsid w:val="00855EF4"/>
    <w:rsid w:val="0085673E"/>
    <w:rsid w:val="00857E0D"/>
    <w:rsid w:val="008605EC"/>
    <w:rsid w:val="00860793"/>
    <w:rsid w:val="008616F4"/>
    <w:rsid w:val="0086247C"/>
    <w:rsid w:val="00862758"/>
    <w:rsid w:val="00862894"/>
    <w:rsid w:val="008634DE"/>
    <w:rsid w:val="00863E61"/>
    <w:rsid w:val="00864B29"/>
    <w:rsid w:val="00865D36"/>
    <w:rsid w:val="00871977"/>
    <w:rsid w:val="00872B20"/>
    <w:rsid w:val="00872D0F"/>
    <w:rsid w:val="00872D6D"/>
    <w:rsid w:val="00873071"/>
    <w:rsid w:val="00873112"/>
    <w:rsid w:val="008732AD"/>
    <w:rsid w:val="008732BA"/>
    <w:rsid w:val="00873E17"/>
    <w:rsid w:val="00874BB6"/>
    <w:rsid w:val="00875064"/>
    <w:rsid w:val="00875EC1"/>
    <w:rsid w:val="00876DCD"/>
    <w:rsid w:val="00877302"/>
    <w:rsid w:val="008776EC"/>
    <w:rsid w:val="00877E5A"/>
    <w:rsid w:val="0088061F"/>
    <w:rsid w:val="00880D21"/>
    <w:rsid w:val="00881D6F"/>
    <w:rsid w:val="00882405"/>
    <w:rsid w:val="00882A8A"/>
    <w:rsid w:val="00882C06"/>
    <w:rsid w:val="00883D48"/>
    <w:rsid w:val="008850CF"/>
    <w:rsid w:val="008905F5"/>
    <w:rsid w:val="00890C72"/>
    <w:rsid w:val="0089378B"/>
    <w:rsid w:val="0089414B"/>
    <w:rsid w:val="008952C1"/>
    <w:rsid w:val="008969E1"/>
    <w:rsid w:val="00896B3E"/>
    <w:rsid w:val="00897F67"/>
    <w:rsid w:val="008A09F7"/>
    <w:rsid w:val="008A1F69"/>
    <w:rsid w:val="008A2143"/>
    <w:rsid w:val="008A2A10"/>
    <w:rsid w:val="008A2DD1"/>
    <w:rsid w:val="008A33FC"/>
    <w:rsid w:val="008A3B3F"/>
    <w:rsid w:val="008A4401"/>
    <w:rsid w:val="008A4A7C"/>
    <w:rsid w:val="008A6565"/>
    <w:rsid w:val="008A65AB"/>
    <w:rsid w:val="008A70F9"/>
    <w:rsid w:val="008A7AF8"/>
    <w:rsid w:val="008B002A"/>
    <w:rsid w:val="008B10FA"/>
    <w:rsid w:val="008B2D89"/>
    <w:rsid w:val="008B303B"/>
    <w:rsid w:val="008B3981"/>
    <w:rsid w:val="008B4302"/>
    <w:rsid w:val="008B4939"/>
    <w:rsid w:val="008B4DD3"/>
    <w:rsid w:val="008B622D"/>
    <w:rsid w:val="008B6446"/>
    <w:rsid w:val="008B6586"/>
    <w:rsid w:val="008B7220"/>
    <w:rsid w:val="008C186B"/>
    <w:rsid w:val="008C25C6"/>
    <w:rsid w:val="008C3505"/>
    <w:rsid w:val="008C647C"/>
    <w:rsid w:val="008C67D4"/>
    <w:rsid w:val="008C69D6"/>
    <w:rsid w:val="008C6B9C"/>
    <w:rsid w:val="008D0412"/>
    <w:rsid w:val="008D0660"/>
    <w:rsid w:val="008D076A"/>
    <w:rsid w:val="008D1254"/>
    <w:rsid w:val="008D1FC5"/>
    <w:rsid w:val="008D2639"/>
    <w:rsid w:val="008D27F7"/>
    <w:rsid w:val="008D4175"/>
    <w:rsid w:val="008D4A2D"/>
    <w:rsid w:val="008D4D0B"/>
    <w:rsid w:val="008D53A2"/>
    <w:rsid w:val="008D63B4"/>
    <w:rsid w:val="008D6A82"/>
    <w:rsid w:val="008D7BEE"/>
    <w:rsid w:val="008E1836"/>
    <w:rsid w:val="008E344A"/>
    <w:rsid w:val="008E3744"/>
    <w:rsid w:val="008E483E"/>
    <w:rsid w:val="008E59A0"/>
    <w:rsid w:val="008F02FD"/>
    <w:rsid w:val="008F0B49"/>
    <w:rsid w:val="008F0B57"/>
    <w:rsid w:val="008F19C5"/>
    <w:rsid w:val="008F1A02"/>
    <w:rsid w:val="008F319C"/>
    <w:rsid w:val="008F3348"/>
    <w:rsid w:val="008F373E"/>
    <w:rsid w:val="008F37FF"/>
    <w:rsid w:val="008F4F70"/>
    <w:rsid w:val="008F6833"/>
    <w:rsid w:val="008F6A5F"/>
    <w:rsid w:val="008F75F4"/>
    <w:rsid w:val="008F7C11"/>
    <w:rsid w:val="009006A9"/>
    <w:rsid w:val="009018EC"/>
    <w:rsid w:val="009020FE"/>
    <w:rsid w:val="00902660"/>
    <w:rsid w:val="00903AB2"/>
    <w:rsid w:val="00903D5D"/>
    <w:rsid w:val="00904C51"/>
    <w:rsid w:val="00905375"/>
    <w:rsid w:val="00905811"/>
    <w:rsid w:val="0090596F"/>
    <w:rsid w:val="009077CA"/>
    <w:rsid w:val="00913BB0"/>
    <w:rsid w:val="00914823"/>
    <w:rsid w:val="00915277"/>
    <w:rsid w:val="009154D7"/>
    <w:rsid w:val="00915742"/>
    <w:rsid w:val="00917447"/>
    <w:rsid w:val="009205C2"/>
    <w:rsid w:val="00920B89"/>
    <w:rsid w:val="00921122"/>
    <w:rsid w:val="00922146"/>
    <w:rsid w:val="00922780"/>
    <w:rsid w:val="009236CE"/>
    <w:rsid w:val="00926068"/>
    <w:rsid w:val="009269D8"/>
    <w:rsid w:val="00926C73"/>
    <w:rsid w:val="0092732C"/>
    <w:rsid w:val="00927AEB"/>
    <w:rsid w:val="00930A33"/>
    <w:rsid w:val="009311AB"/>
    <w:rsid w:val="00932EA2"/>
    <w:rsid w:val="009340A5"/>
    <w:rsid w:val="00934CE9"/>
    <w:rsid w:val="009352A5"/>
    <w:rsid w:val="009357A8"/>
    <w:rsid w:val="0093610C"/>
    <w:rsid w:val="00936F84"/>
    <w:rsid w:val="0093752A"/>
    <w:rsid w:val="00937A67"/>
    <w:rsid w:val="00937E51"/>
    <w:rsid w:val="0094006F"/>
    <w:rsid w:val="009409D7"/>
    <w:rsid w:val="00943003"/>
    <w:rsid w:val="009442DD"/>
    <w:rsid w:val="00944986"/>
    <w:rsid w:val="00946F04"/>
    <w:rsid w:val="00947386"/>
    <w:rsid w:val="00952734"/>
    <w:rsid w:val="00952A72"/>
    <w:rsid w:val="00952D20"/>
    <w:rsid w:val="00952F4C"/>
    <w:rsid w:val="00953C23"/>
    <w:rsid w:val="00953CCD"/>
    <w:rsid w:val="009540C5"/>
    <w:rsid w:val="0095617E"/>
    <w:rsid w:val="0095639A"/>
    <w:rsid w:val="009569D7"/>
    <w:rsid w:val="009579D8"/>
    <w:rsid w:val="00957F18"/>
    <w:rsid w:val="0096019A"/>
    <w:rsid w:val="0096097A"/>
    <w:rsid w:val="00962106"/>
    <w:rsid w:val="00962AE2"/>
    <w:rsid w:val="00962F51"/>
    <w:rsid w:val="0096310A"/>
    <w:rsid w:val="009640C3"/>
    <w:rsid w:val="00964D9E"/>
    <w:rsid w:val="00965724"/>
    <w:rsid w:val="00967899"/>
    <w:rsid w:val="00970761"/>
    <w:rsid w:val="009715B8"/>
    <w:rsid w:val="0097668F"/>
    <w:rsid w:val="009769AD"/>
    <w:rsid w:val="0098097F"/>
    <w:rsid w:val="00982949"/>
    <w:rsid w:val="00982C66"/>
    <w:rsid w:val="0098376B"/>
    <w:rsid w:val="009860B5"/>
    <w:rsid w:val="009873AE"/>
    <w:rsid w:val="00987DFB"/>
    <w:rsid w:val="0099151F"/>
    <w:rsid w:val="009917DA"/>
    <w:rsid w:val="00991C51"/>
    <w:rsid w:val="0099254F"/>
    <w:rsid w:val="00992ED3"/>
    <w:rsid w:val="00995AA5"/>
    <w:rsid w:val="00995B5B"/>
    <w:rsid w:val="009A0E6C"/>
    <w:rsid w:val="009A0E85"/>
    <w:rsid w:val="009A0EE2"/>
    <w:rsid w:val="009A156E"/>
    <w:rsid w:val="009A2382"/>
    <w:rsid w:val="009A253E"/>
    <w:rsid w:val="009A25A1"/>
    <w:rsid w:val="009A4262"/>
    <w:rsid w:val="009A5F8B"/>
    <w:rsid w:val="009A74D7"/>
    <w:rsid w:val="009B0F39"/>
    <w:rsid w:val="009B236C"/>
    <w:rsid w:val="009B294D"/>
    <w:rsid w:val="009B3628"/>
    <w:rsid w:val="009B41AF"/>
    <w:rsid w:val="009B614F"/>
    <w:rsid w:val="009B63F6"/>
    <w:rsid w:val="009B7083"/>
    <w:rsid w:val="009C02B1"/>
    <w:rsid w:val="009C2E40"/>
    <w:rsid w:val="009C3265"/>
    <w:rsid w:val="009C3368"/>
    <w:rsid w:val="009C3B62"/>
    <w:rsid w:val="009C4083"/>
    <w:rsid w:val="009C6CE6"/>
    <w:rsid w:val="009C75AE"/>
    <w:rsid w:val="009C790F"/>
    <w:rsid w:val="009D02FD"/>
    <w:rsid w:val="009D226C"/>
    <w:rsid w:val="009D447D"/>
    <w:rsid w:val="009D52C2"/>
    <w:rsid w:val="009D66D7"/>
    <w:rsid w:val="009D76D4"/>
    <w:rsid w:val="009E0E12"/>
    <w:rsid w:val="009E1234"/>
    <w:rsid w:val="009E16A4"/>
    <w:rsid w:val="009E1B3D"/>
    <w:rsid w:val="009E2D5D"/>
    <w:rsid w:val="009E2E85"/>
    <w:rsid w:val="009E33E3"/>
    <w:rsid w:val="009E350F"/>
    <w:rsid w:val="009E3CE8"/>
    <w:rsid w:val="009E5497"/>
    <w:rsid w:val="009E5D18"/>
    <w:rsid w:val="009E5F53"/>
    <w:rsid w:val="009E6070"/>
    <w:rsid w:val="009E6B44"/>
    <w:rsid w:val="009E75E6"/>
    <w:rsid w:val="009F0A88"/>
    <w:rsid w:val="009F1FEB"/>
    <w:rsid w:val="009F2301"/>
    <w:rsid w:val="009F45B7"/>
    <w:rsid w:val="009F4FE0"/>
    <w:rsid w:val="00A0031D"/>
    <w:rsid w:val="00A00705"/>
    <w:rsid w:val="00A00C81"/>
    <w:rsid w:val="00A01C42"/>
    <w:rsid w:val="00A05C93"/>
    <w:rsid w:val="00A0706F"/>
    <w:rsid w:val="00A073B3"/>
    <w:rsid w:val="00A10C16"/>
    <w:rsid w:val="00A10E83"/>
    <w:rsid w:val="00A13026"/>
    <w:rsid w:val="00A13829"/>
    <w:rsid w:val="00A14D87"/>
    <w:rsid w:val="00A157EB"/>
    <w:rsid w:val="00A15EC5"/>
    <w:rsid w:val="00A161EA"/>
    <w:rsid w:val="00A16923"/>
    <w:rsid w:val="00A17C58"/>
    <w:rsid w:val="00A20239"/>
    <w:rsid w:val="00A21352"/>
    <w:rsid w:val="00A21C40"/>
    <w:rsid w:val="00A2256F"/>
    <w:rsid w:val="00A234B1"/>
    <w:rsid w:val="00A243A2"/>
    <w:rsid w:val="00A251B5"/>
    <w:rsid w:val="00A26C8C"/>
    <w:rsid w:val="00A32372"/>
    <w:rsid w:val="00A338B1"/>
    <w:rsid w:val="00A33CD2"/>
    <w:rsid w:val="00A33F32"/>
    <w:rsid w:val="00A344B1"/>
    <w:rsid w:val="00A34F7C"/>
    <w:rsid w:val="00A35A2A"/>
    <w:rsid w:val="00A40FB6"/>
    <w:rsid w:val="00A41100"/>
    <w:rsid w:val="00A41DF8"/>
    <w:rsid w:val="00A43627"/>
    <w:rsid w:val="00A437B4"/>
    <w:rsid w:val="00A43C12"/>
    <w:rsid w:val="00A440E7"/>
    <w:rsid w:val="00A44211"/>
    <w:rsid w:val="00A4448A"/>
    <w:rsid w:val="00A45403"/>
    <w:rsid w:val="00A4560A"/>
    <w:rsid w:val="00A50A17"/>
    <w:rsid w:val="00A52A21"/>
    <w:rsid w:val="00A54E52"/>
    <w:rsid w:val="00A55517"/>
    <w:rsid w:val="00A563FE"/>
    <w:rsid w:val="00A60728"/>
    <w:rsid w:val="00A60876"/>
    <w:rsid w:val="00A615D3"/>
    <w:rsid w:val="00A6285A"/>
    <w:rsid w:val="00A63F20"/>
    <w:rsid w:val="00A65693"/>
    <w:rsid w:val="00A67D58"/>
    <w:rsid w:val="00A71748"/>
    <w:rsid w:val="00A72EAE"/>
    <w:rsid w:val="00A72F5D"/>
    <w:rsid w:val="00A73EF6"/>
    <w:rsid w:val="00A7671C"/>
    <w:rsid w:val="00A77F90"/>
    <w:rsid w:val="00A80DEB"/>
    <w:rsid w:val="00A83A52"/>
    <w:rsid w:val="00A83D4B"/>
    <w:rsid w:val="00A841B0"/>
    <w:rsid w:val="00A8429A"/>
    <w:rsid w:val="00A85331"/>
    <w:rsid w:val="00A85E39"/>
    <w:rsid w:val="00A864BA"/>
    <w:rsid w:val="00A86C76"/>
    <w:rsid w:val="00A906CF"/>
    <w:rsid w:val="00A90945"/>
    <w:rsid w:val="00A922CF"/>
    <w:rsid w:val="00A92805"/>
    <w:rsid w:val="00A92C27"/>
    <w:rsid w:val="00A92D14"/>
    <w:rsid w:val="00A93A1A"/>
    <w:rsid w:val="00A958F9"/>
    <w:rsid w:val="00A96670"/>
    <w:rsid w:val="00A97C29"/>
    <w:rsid w:val="00A97F3B"/>
    <w:rsid w:val="00AA0F0D"/>
    <w:rsid w:val="00AA23DB"/>
    <w:rsid w:val="00AA3E51"/>
    <w:rsid w:val="00AA5080"/>
    <w:rsid w:val="00AA77CC"/>
    <w:rsid w:val="00AA7AE5"/>
    <w:rsid w:val="00AB0867"/>
    <w:rsid w:val="00AB167B"/>
    <w:rsid w:val="00AB1C7F"/>
    <w:rsid w:val="00AB261E"/>
    <w:rsid w:val="00AB3F2C"/>
    <w:rsid w:val="00AB458A"/>
    <w:rsid w:val="00AB4D58"/>
    <w:rsid w:val="00AB61C0"/>
    <w:rsid w:val="00AB6AEE"/>
    <w:rsid w:val="00AB6D58"/>
    <w:rsid w:val="00AB7A9E"/>
    <w:rsid w:val="00AC1AFA"/>
    <w:rsid w:val="00AC1CB7"/>
    <w:rsid w:val="00AC1F0C"/>
    <w:rsid w:val="00AC306B"/>
    <w:rsid w:val="00AC40E0"/>
    <w:rsid w:val="00AC523F"/>
    <w:rsid w:val="00AC6E1F"/>
    <w:rsid w:val="00AC6EED"/>
    <w:rsid w:val="00AC7423"/>
    <w:rsid w:val="00AD248D"/>
    <w:rsid w:val="00AD57A9"/>
    <w:rsid w:val="00AD5D68"/>
    <w:rsid w:val="00AD65B1"/>
    <w:rsid w:val="00AD6757"/>
    <w:rsid w:val="00AD6911"/>
    <w:rsid w:val="00AD7332"/>
    <w:rsid w:val="00AE0111"/>
    <w:rsid w:val="00AE095F"/>
    <w:rsid w:val="00AE0B3E"/>
    <w:rsid w:val="00AE0B40"/>
    <w:rsid w:val="00AE1407"/>
    <w:rsid w:val="00AE173D"/>
    <w:rsid w:val="00AE3AC4"/>
    <w:rsid w:val="00AE4503"/>
    <w:rsid w:val="00AE63A5"/>
    <w:rsid w:val="00AE6787"/>
    <w:rsid w:val="00AE69FD"/>
    <w:rsid w:val="00AE7110"/>
    <w:rsid w:val="00AE718D"/>
    <w:rsid w:val="00AE733A"/>
    <w:rsid w:val="00AE796C"/>
    <w:rsid w:val="00AE7B23"/>
    <w:rsid w:val="00AF0889"/>
    <w:rsid w:val="00AF2D91"/>
    <w:rsid w:val="00AF34DA"/>
    <w:rsid w:val="00AF40C9"/>
    <w:rsid w:val="00AF4E37"/>
    <w:rsid w:val="00AF59B4"/>
    <w:rsid w:val="00AF5B4E"/>
    <w:rsid w:val="00AF5FA4"/>
    <w:rsid w:val="00AF6C35"/>
    <w:rsid w:val="00AF778A"/>
    <w:rsid w:val="00AF79B8"/>
    <w:rsid w:val="00AF7B12"/>
    <w:rsid w:val="00B008B2"/>
    <w:rsid w:val="00B01307"/>
    <w:rsid w:val="00B01B41"/>
    <w:rsid w:val="00B029AF"/>
    <w:rsid w:val="00B02C5C"/>
    <w:rsid w:val="00B03A62"/>
    <w:rsid w:val="00B05458"/>
    <w:rsid w:val="00B06319"/>
    <w:rsid w:val="00B0764E"/>
    <w:rsid w:val="00B1112E"/>
    <w:rsid w:val="00B11481"/>
    <w:rsid w:val="00B129B2"/>
    <w:rsid w:val="00B12D04"/>
    <w:rsid w:val="00B12EFB"/>
    <w:rsid w:val="00B13001"/>
    <w:rsid w:val="00B1358C"/>
    <w:rsid w:val="00B141FC"/>
    <w:rsid w:val="00B163CC"/>
    <w:rsid w:val="00B16E21"/>
    <w:rsid w:val="00B179FE"/>
    <w:rsid w:val="00B20124"/>
    <w:rsid w:val="00B20C01"/>
    <w:rsid w:val="00B21CBC"/>
    <w:rsid w:val="00B21DA9"/>
    <w:rsid w:val="00B21ED6"/>
    <w:rsid w:val="00B22637"/>
    <w:rsid w:val="00B2352E"/>
    <w:rsid w:val="00B23BA8"/>
    <w:rsid w:val="00B23F3F"/>
    <w:rsid w:val="00B2479A"/>
    <w:rsid w:val="00B25DF1"/>
    <w:rsid w:val="00B26501"/>
    <w:rsid w:val="00B26E94"/>
    <w:rsid w:val="00B306E6"/>
    <w:rsid w:val="00B30C1A"/>
    <w:rsid w:val="00B3156D"/>
    <w:rsid w:val="00B315A9"/>
    <w:rsid w:val="00B3169D"/>
    <w:rsid w:val="00B31B0F"/>
    <w:rsid w:val="00B339D3"/>
    <w:rsid w:val="00B33B3F"/>
    <w:rsid w:val="00B3438D"/>
    <w:rsid w:val="00B35AC4"/>
    <w:rsid w:val="00B35C3B"/>
    <w:rsid w:val="00B37FB7"/>
    <w:rsid w:val="00B40765"/>
    <w:rsid w:val="00B427CF"/>
    <w:rsid w:val="00B44FE7"/>
    <w:rsid w:val="00B454FD"/>
    <w:rsid w:val="00B46778"/>
    <w:rsid w:val="00B47CFA"/>
    <w:rsid w:val="00B5017F"/>
    <w:rsid w:val="00B509D4"/>
    <w:rsid w:val="00B50B11"/>
    <w:rsid w:val="00B51E7D"/>
    <w:rsid w:val="00B53766"/>
    <w:rsid w:val="00B564AD"/>
    <w:rsid w:val="00B56C4C"/>
    <w:rsid w:val="00B61AE0"/>
    <w:rsid w:val="00B637B5"/>
    <w:rsid w:val="00B6423F"/>
    <w:rsid w:val="00B65572"/>
    <w:rsid w:val="00B65D9A"/>
    <w:rsid w:val="00B66209"/>
    <w:rsid w:val="00B665B1"/>
    <w:rsid w:val="00B70ED5"/>
    <w:rsid w:val="00B7134A"/>
    <w:rsid w:val="00B72AF9"/>
    <w:rsid w:val="00B734A8"/>
    <w:rsid w:val="00B7376F"/>
    <w:rsid w:val="00B74AB6"/>
    <w:rsid w:val="00B7572C"/>
    <w:rsid w:val="00B7747B"/>
    <w:rsid w:val="00B77625"/>
    <w:rsid w:val="00B801DF"/>
    <w:rsid w:val="00B802FE"/>
    <w:rsid w:val="00B82758"/>
    <w:rsid w:val="00B82A43"/>
    <w:rsid w:val="00B84597"/>
    <w:rsid w:val="00B85A24"/>
    <w:rsid w:val="00B85C46"/>
    <w:rsid w:val="00B87230"/>
    <w:rsid w:val="00B87985"/>
    <w:rsid w:val="00B900BB"/>
    <w:rsid w:val="00B90159"/>
    <w:rsid w:val="00B91817"/>
    <w:rsid w:val="00B93432"/>
    <w:rsid w:val="00B946B9"/>
    <w:rsid w:val="00B94C51"/>
    <w:rsid w:val="00B9575F"/>
    <w:rsid w:val="00B9678B"/>
    <w:rsid w:val="00BA041B"/>
    <w:rsid w:val="00BA041F"/>
    <w:rsid w:val="00BA149C"/>
    <w:rsid w:val="00BA2077"/>
    <w:rsid w:val="00BA2573"/>
    <w:rsid w:val="00BA310D"/>
    <w:rsid w:val="00BA41FB"/>
    <w:rsid w:val="00BA42A2"/>
    <w:rsid w:val="00BA4945"/>
    <w:rsid w:val="00BA4CE9"/>
    <w:rsid w:val="00BA4DAB"/>
    <w:rsid w:val="00BA51B5"/>
    <w:rsid w:val="00BB01C8"/>
    <w:rsid w:val="00BB08E4"/>
    <w:rsid w:val="00BB3B3E"/>
    <w:rsid w:val="00BB44F0"/>
    <w:rsid w:val="00BB4CE8"/>
    <w:rsid w:val="00BB5C12"/>
    <w:rsid w:val="00BB7867"/>
    <w:rsid w:val="00BC1B44"/>
    <w:rsid w:val="00BC222C"/>
    <w:rsid w:val="00BC258F"/>
    <w:rsid w:val="00BC2F41"/>
    <w:rsid w:val="00BC33CF"/>
    <w:rsid w:val="00BC3D2E"/>
    <w:rsid w:val="00BC3EB0"/>
    <w:rsid w:val="00BC44BB"/>
    <w:rsid w:val="00BC62E8"/>
    <w:rsid w:val="00BD03D4"/>
    <w:rsid w:val="00BD2888"/>
    <w:rsid w:val="00BD29F3"/>
    <w:rsid w:val="00BD2DEE"/>
    <w:rsid w:val="00BD33BC"/>
    <w:rsid w:val="00BD3FF6"/>
    <w:rsid w:val="00BD43DA"/>
    <w:rsid w:val="00BD4757"/>
    <w:rsid w:val="00BD48F0"/>
    <w:rsid w:val="00BD4ECA"/>
    <w:rsid w:val="00BE04D4"/>
    <w:rsid w:val="00BE0C4F"/>
    <w:rsid w:val="00BE1A38"/>
    <w:rsid w:val="00BE1E21"/>
    <w:rsid w:val="00BE2434"/>
    <w:rsid w:val="00BE2F75"/>
    <w:rsid w:val="00BE3281"/>
    <w:rsid w:val="00BE46BD"/>
    <w:rsid w:val="00BE4C5D"/>
    <w:rsid w:val="00BE5659"/>
    <w:rsid w:val="00BE5879"/>
    <w:rsid w:val="00BE7A4F"/>
    <w:rsid w:val="00BF00B4"/>
    <w:rsid w:val="00BF17B4"/>
    <w:rsid w:val="00BF196E"/>
    <w:rsid w:val="00BF3937"/>
    <w:rsid w:val="00BF4FD4"/>
    <w:rsid w:val="00BF63CD"/>
    <w:rsid w:val="00BF7A8F"/>
    <w:rsid w:val="00BF7EA1"/>
    <w:rsid w:val="00C00521"/>
    <w:rsid w:val="00C00825"/>
    <w:rsid w:val="00C03D22"/>
    <w:rsid w:val="00C04C83"/>
    <w:rsid w:val="00C0594E"/>
    <w:rsid w:val="00C05A69"/>
    <w:rsid w:val="00C05EB6"/>
    <w:rsid w:val="00C10EE8"/>
    <w:rsid w:val="00C13E88"/>
    <w:rsid w:val="00C14BC7"/>
    <w:rsid w:val="00C14EA6"/>
    <w:rsid w:val="00C159C9"/>
    <w:rsid w:val="00C1753E"/>
    <w:rsid w:val="00C17A34"/>
    <w:rsid w:val="00C2080D"/>
    <w:rsid w:val="00C22BA5"/>
    <w:rsid w:val="00C23855"/>
    <w:rsid w:val="00C2727D"/>
    <w:rsid w:val="00C305B9"/>
    <w:rsid w:val="00C307B0"/>
    <w:rsid w:val="00C3091B"/>
    <w:rsid w:val="00C31105"/>
    <w:rsid w:val="00C319BF"/>
    <w:rsid w:val="00C33D43"/>
    <w:rsid w:val="00C33E35"/>
    <w:rsid w:val="00C344C0"/>
    <w:rsid w:val="00C35899"/>
    <w:rsid w:val="00C36041"/>
    <w:rsid w:val="00C36321"/>
    <w:rsid w:val="00C36BC7"/>
    <w:rsid w:val="00C37F02"/>
    <w:rsid w:val="00C4256E"/>
    <w:rsid w:val="00C42C1A"/>
    <w:rsid w:val="00C43342"/>
    <w:rsid w:val="00C43961"/>
    <w:rsid w:val="00C44666"/>
    <w:rsid w:val="00C45284"/>
    <w:rsid w:val="00C45BB1"/>
    <w:rsid w:val="00C45D51"/>
    <w:rsid w:val="00C50894"/>
    <w:rsid w:val="00C51E8D"/>
    <w:rsid w:val="00C52AE2"/>
    <w:rsid w:val="00C531DA"/>
    <w:rsid w:val="00C533DC"/>
    <w:rsid w:val="00C533ED"/>
    <w:rsid w:val="00C53DDD"/>
    <w:rsid w:val="00C558D8"/>
    <w:rsid w:val="00C56D61"/>
    <w:rsid w:val="00C615B7"/>
    <w:rsid w:val="00C61DB8"/>
    <w:rsid w:val="00C626EF"/>
    <w:rsid w:val="00C62D3A"/>
    <w:rsid w:val="00C639AB"/>
    <w:rsid w:val="00C6428E"/>
    <w:rsid w:val="00C64A66"/>
    <w:rsid w:val="00C67331"/>
    <w:rsid w:val="00C677CE"/>
    <w:rsid w:val="00C71C70"/>
    <w:rsid w:val="00C74E55"/>
    <w:rsid w:val="00C76110"/>
    <w:rsid w:val="00C77774"/>
    <w:rsid w:val="00C778B6"/>
    <w:rsid w:val="00C8078E"/>
    <w:rsid w:val="00C80BBD"/>
    <w:rsid w:val="00C81F30"/>
    <w:rsid w:val="00C82CA2"/>
    <w:rsid w:val="00C85A91"/>
    <w:rsid w:val="00C85BB6"/>
    <w:rsid w:val="00C860C2"/>
    <w:rsid w:val="00C87A25"/>
    <w:rsid w:val="00C91515"/>
    <w:rsid w:val="00C91A05"/>
    <w:rsid w:val="00C924F8"/>
    <w:rsid w:val="00CA0A30"/>
    <w:rsid w:val="00CA1BCA"/>
    <w:rsid w:val="00CA20FE"/>
    <w:rsid w:val="00CA2574"/>
    <w:rsid w:val="00CA2DAC"/>
    <w:rsid w:val="00CA3AEA"/>
    <w:rsid w:val="00CA4838"/>
    <w:rsid w:val="00CA5F48"/>
    <w:rsid w:val="00CA6803"/>
    <w:rsid w:val="00CA70F6"/>
    <w:rsid w:val="00CA762A"/>
    <w:rsid w:val="00CB16E2"/>
    <w:rsid w:val="00CB2AAC"/>
    <w:rsid w:val="00CB6BAB"/>
    <w:rsid w:val="00CB7831"/>
    <w:rsid w:val="00CC24C4"/>
    <w:rsid w:val="00CC2886"/>
    <w:rsid w:val="00CC7784"/>
    <w:rsid w:val="00CD2BCC"/>
    <w:rsid w:val="00CD2C79"/>
    <w:rsid w:val="00CD477F"/>
    <w:rsid w:val="00CD5192"/>
    <w:rsid w:val="00CD562D"/>
    <w:rsid w:val="00CE0506"/>
    <w:rsid w:val="00CE070E"/>
    <w:rsid w:val="00CE0870"/>
    <w:rsid w:val="00CE0D58"/>
    <w:rsid w:val="00CE19D9"/>
    <w:rsid w:val="00CE1D0D"/>
    <w:rsid w:val="00CE39AB"/>
    <w:rsid w:val="00CE4117"/>
    <w:rsid w:val="00CE45A3"/>
    <w:rsid w:val="00CE53D8"/>
    <w:rsid w:val="00CE5E96"/>
    <w:rsid w:val="00CF0283"/>
    <w:rsid w:val="00CF17C6"/>
    <w:rsid w:val="00CF23FE"/>
    <w:rsid w:val="00CF25BA"/>
    <w:rsid w:val="00CF2718"/>
    <w:rsid w:val="00CF29F6"/>
    <w:rsid w:val="00CF3D75"/>
    <w:rsid w:val="00CF5CA7"/>
    <w:rsid w:val="00CF5D44"/>
    <w:rsid w:val="00CF6534"/>
    <w:rsid w:val="00CF73D0"/>
    <w:rsid w:val="00CF7684"/>
    <w:rsid w:val="00D0027A"/>
    <w:rsid w:val="00D00D26"/>
    <w:rsid w:val="00D01DF2"/>
    <w:rsid w:val="00D03A3A"/>
    <w:rsid w:val="00D045FF"/>
    <w:rsid w:val="00D04F0B"/>
    <w:rsid w:val="00D06B6E"/>
    <w:rsid w:val="00D078B7"/>
    <w:rsid w:val="00D10F56"/>
    <w:rsid w:val="00D13B35"/>
    <w:rsid w:val="00D14F24"/>
    <w:rsid w:val="00D15988"/>
    <w:rsid w:val="00D17119"/>
    <w:rsid w:val="00D17F18"/>
    <w:rsid w:val="00D2012E"/>
    <w:rsid w:val="00D20FCA"/>
    <w:rsid w:val="00D21A45"/>
    <w:rsid w:val="00D2233B"/>
    <w:rsid w:val="00D226C3"/>
    <w:rsid w:val="00D22E76"/>
    <w:rsid w:val="00D230EE"/>
    <w:rsid w:val="00D232D5"/>
    <w:rsid w:val="00D23840"/>
    <w:rsid w:val="00D247BC"/>
    <w:rsid w:val="00D24EEE"/>
    <w:rsid w:val="00D26623"/>
    <w:rsid w:val="00D27048"/>
    <w:rsid w:val="00D272B9"/>
    <w:rsid w:val="00D30740"/>
    <w:rsid w:val="00D32E49"/>
    <w:rsid w:val="00D337FB"/>
    <w:rsid w:val="00D339B5"/>
    <w:rsid w:val="00D34419"/>
    <w:rsid w:val="00D352E3"/>
    <w:rsid w:val="00D363BE"/>
    <w:rsid w:val="00D36C4A"/>
    <w:rsid w:val="00D40281"/>
    <w:rsid w:val="00D42CDC"/>
    <w:rsid w:val="00D43716"/>
    <w:rsid w:val="00D43FC7"/>
    <w:rsid w:val="00D442AD"/>
    <w:rsid w:val="00D45195"/>
    <w:rsid w:val="00D45CCD"/>
    <w:rsid w:val="00D46596"/>
    <w:rsid w:val="00D47818"/>
    <w:rsid w:val="00D51850"/>
    <w:rsid w:val="00D51D05"/>
    <w:rsid w:val="00D51E09"/>
    <w:rsid w:val="00D52721"/>
    <w:rsid w:val="00D5329B"/>
    <w:rsid w:val="00D54131"/>
    <w:rsid w:val="00D542BE"/>
    <w:rsid w:val="00D546FB"/>
    <w:rsid w:val="00D54745"/>
    <w:rsid w:val="00D554BC"/>
    <w:rsid w:val="00D557BC"/>
    <w:rsid w:val="00D55EBF"/>
    <w:rsid w:val="00D5609B"/>
    <w:rsid w:val="00D625F6"/>
    <w:rsid w:val="00D62CDB"/>
    <w:rsid w:val="00D6307F"/>
    <w:rsid w:val="00D638E2"/>
    <w:rsid w:val="00D63E6F"/>
    <w:rsid w:val="00D649F8"/>
    <w:rsid w:val="00D65047"/>
    <w:rsid w:val="00D655E3"/>
    <w:rsid w:val="00D6641E"/>
    <w:rsid w:val="00D671A4"/>
    <w:rsid w:val="00D67307"/>
    <w:rsid w:val="00D70B40"/>
    <w:rsid w:val="00D70D73"/>
    <w:rsid w:val="00D70D9E"/>
    <w:rsid w:val="00D73337"/>
    <w:rsid w:val="00D73E90"/>
    <w:rsid w:val="00D74FB8"/>
    <w:rsid w:val="00D75A41"/>
    <w:rsid w:val="00D765F8"/>
    <w:rsid w:val="00D77A40"/>
    <w:rsid w:val="00D77A4B"/>
    <w:rsid w:val="00D77FB9"/>
    <w:rsid w:val="00D80370"/>
    <w:rsid w:val="00D804E9"/>
    <w:rsid w:val="00D8072F"/>
    <w:rsid w:val="00D809D7"/>
    <w:rsid w:val="00D80F47"/>
    <w:rsid w:val="00D80FA3"/>
    <w:rsid w:val="00D82162"/>
    <w:rsid w:val="00D8251B"/>
    <w:rsid w:val="00D82836"/>
    <w:rsid w:val="00D837FF"/>
    <w:rsid w:val="00D85000"/>
    <w:rsid w:val="00D90A54"/>
    <w:rsid w:val="00D9103E"/>
    <w:rsid w:val="00D915DD"/>
    <w:rsid w:val="00D91611"/>
    <w:rsid w:val="00D92733"/>
    <w:rsid w:val="00D9282B"/>
    <w:rsid w:val="00D94397"/>
    <w:rsid w:val="00D97527"/>
    <w:rsid w:val="00D978FB"/>
    <w:rsid w:val="00DA0DEF"/>
    <w:rsid w:val="00DA103D"/>
    <w:rsid w:val="00DA14E8"/>
    <w:rsid w:val="00DA3CF4"/>
    <w:rsid w:val="00DA3D85"/>
    <w:rsid w:val="00DA41CD"/>
    <w:rsid w:val="00DA4BFD"/>
    <w:rsid w:val="00DA5981"/>
    <w:rsid w:val="00DA6122"/>
    <w:rsid w:val="00DA7308"/>
    <w:rsid w:val="00DA730A"/>
    <w:rsid w:val="00DA7A7B"/>
    <w:rsid w:val="00DB038A"/>
    <w:rsid w:val="00DB18A9"/>
    <w:rsid w:val="00DB19A7"/>
    <w:rsid w:val="00DB1F22"/>
    <w:rsid w:val="00DB2E88"/>
    <w:rsid w:val="00DB2ECB"/>
    <w:rsid w:val="00DB3B1F"/>
    <w:rsid w:val="00DB498D"/>
    <w:rsid w:val="00DB4F5D"/>
    <w:rsid w:val="00DB5208"/>
    <w:rsid w:val="00DB608E"/>
    <w:rsid w:val="00DC1248"/>
    <w:rsid w:val="00DC19D8"/>
    <w:rsid w:val="00DC2935"/>
    <w:rsid w:val="00DC2C82"/>
    <w:rsid w:val="00DC2D5B"/>
    <w:rsid w:val="00DC37D1"/>
    <w:rsid w:val="00DC47F2"/>
    <w:rsid w:val="00DC5461"/>
    <w:rsid w:val="00DC56D5"/>
    <w:rsid w:val="00DC6143"/>
    <w:rsid w:val="00DC6AF2"/>
    <w:rsid w:val="00DD115A"/>
    <w:rsid w:val="00DD2501"/>
    <w:rsid w:val="00DD386E"/>
    <w:rsid w:val="00DD39C5"/>
    <w:rsid w:val="00DD4567"/>
    <w:rsid w:val="00DD458A"/>
    <w:rsid w:val="00DD5054"/>
    <w:rsid w:val="00DD6945"/>
    <w:rsid w:val="00DD7211"/>
    <w:rsid w:val="00DD77E4"/>
    <w:rsid w:val="00DE0896"/>
    <w:rsid w:val="00DE2BFC"/>
    <w:rsid w:val="00DE32EE"/>
    <w:rsid w:val="00DE3856"/>
    <w:rsid w:val="00DE399B"/>
    <w:rsid w:val="00DE4B66"/>
    <w:rsid w:val="00DE51A5"/>
    <w:rsid w:val="00DE56A8"/>
    <w:rsid w:val="00DF0BF7"/>
    <w:rsid w:val="00DF1137"/>
    <w:rsid w:val="00DF471E"/>
    <w:rsid w:val="00DF5A9D"/>
    <w:rsid w:val="00E03701"/>
    <w:rsid w:val="00E03C04"/>
    <w:rsid w:val="00E04CD9"/>
    <w:rsid w:val="00E05C07"/>
    <w:rsid w:val="00E068E4"/>
    <w:rsid w:val="00E07F71"/>
    <w:rsid w:val="00E11489"/>
    <w:rsid w:val="00E1173B"/>
    <w:rsid w:val="00E11BA8"/>
    <w:rsid w:val="00E11C87"/>
    <w:rsid w:val="00E13ECF"/>
    <w:rsid w:val="00E14901"/>
    <w:rsid w:val="00E155F3"/>
    <w:rsid w:val="00E16DAC"/>
    <w:rsid w:val="00E17C24"/>
    <w:rsid w:val="00E20004"/>
    <w:rsid w:val="00E200EA"/>
    <w:rsid w:val="00E2032A"/>
    <w:rsid w:val="00E203E9"/>
    <w:rsid w:val="00E20EBC"/>
    <w:rsid w:val="00E24D4C"/>
    <w:rsid w:val="00E25FBF"/>
    <w:rsid w:val="00E263B4"/>
    <w:rsid w:val="00E26552"/>
    <w:rsid w:val="00E3360F"/>
    <w:rsid w:val="00E337B4"/>
    <w:rsid w:val="00E33F70"/>
    <w:rsid w:val="00E343E2"/>
    <w:rsid w:val="00E3460E"/>
    <w:rsid w:val="00E3462D"/>
    <w:rsid w:val="00E35E01"/>
    <w:rsid w:val="00E367B1"/>
    <w:rsid w:val="00E372E6"/>
    <w:rsid w:val="00E376EA"/>
    <w:rsid w:val="00E37BE3"/>
    <w:rsid w:val="00E42440"/>
    <w:rsid w:val="00E43222"/>
    <w:rsid w:val="00E43589"/>
    <w:rsid w:val="00E45447"/>
    <w:rsid w:val="00E458E2"/>
    <w:rsid w:val="00E47BC9"/>
    <w:rsid w:val="00E50945"/>
    <w:rsid w:val="00E50A80"/>
    <w:rsid w:val="00E53461"/>
    <w:rsid w:val="00E54090"/>
    <w:rsid w:val="00E545E0"/>
    <w:rsid w:val="00E55B0A"/>
    <w:rsid w:val="00E55D1C"/>
    <w:rsid w:val="00E56161"/>
    <w:rsid w:val="00E57787"/>
    <w:rsid w:val="00E6051E"/>
    <w:rsid w:val="00E6152C"/>
    <w:rsid w:val="00E61F7E"/>
    <w:rsid w:val="00E627E5"/>
    <w:rsid w:val="00E629EB"/>
    <w:rsid w:val="00E62F77"/>
    <w:rsid w:val="00E63604"/>
    <w:rsid w:val="00E63BF7"/>
    <w:rsid w:val="00E66443"/>
    <w:rsid w:val="00E665A9"/>
    <w:rsid w:val="00E6728F"/>
    <w:rsid w:val="00E67C99"/>
    <w:rsid w:val="00E67CD5"/>
    <w:rsid w:val="00E70138"/>
    <w:rsid w:val="00E71291"/>
    <w:rsid w:val="00E71A1E"/>
    <w:rsid w:val="00E73F13"/>
    <w:rsid w:val="00E73FD8"/>
    <w:rsid w:val="00E7499C"/>
    <w:rsid w:val="00E76398"/>
    <w:rsid w:val="00E76512"/>
    <w:rsid w:val="00E76E30"/>
    <w:rsid w:val="00E76F43"/>
    <w:rsid w:val="00E77D33"/>
    <w:rsid w:val="00E802D1"/>
    <w:rsid w:val="00E815A2"/>
    <w:rsid w:val="00E82B4A"/>
    <w:rsid w:val="00E82C47"/>
    <w:rsid w:val="00E86E11"/>
    <w:rsid w:val="00E87294"/>
    <w:rsid w:val="00E900E8"/>
    <w:rsid w:val="00E930DB"/>
    <w:rsid w:val="00E93E3A"/>
    <w:rsid w:val="00EA0FC5"/>
    <w:rsid w:val="00EA1780"/>
    <w:rsid w:val="00EA2486"/>
    <w:rsid w:val="00EA257F"/>
    <w:rsid w:val="00EA2DB5"/>
    <w:rsid w:val="00EA2EAC"/>
    <w:rsid w:val="00EA3F01"/>
    <w:rsid w:val="00EA4BD1"/>
    <w:rsid w:val="00EA4DB5"/>
    <w:rsid w:val="00EA5246"/>
    <w:rsid w:val="00EA646F"/>
    <w:rsid w:val="00EB0433"/>
    <w:rsid w:val="00EB182B"/>
    <w:rsid w:val="00EB1E7E"/>
    <w:rsid w:val="00EB29F2"/>
    <w:rsid w:val="00EB2FC9"/>
    <w:rsid w:val="00EB3E80"/>
    <w:rsid w:val="00EB5EF9"/>
    <w:rsid w:val="00EB7DC0"/>
    <w:rsid w:val="00EC1281"/>
    <w:rsid w:val="00EC1540"/>
    <w:rsid w:val="00EC3870"/>
    <w:rsid w:val="00EC402D"/>
    <w:rsid w:val="00EC583F"/>
    <w:rsid w:val="00EC6D0C"/>
    <w:rsid w:val="00EC7D58"/>
    <w:rsid w:val="00ED0CD0"/>
    <w:rsid w:val="00ED2835"/>
    <w:rsid w:val="00ED2E79"/>
    <w:rsid w:val="00ED4381"/>
    <w:rsid w:val="00ED4887"/>
    <w:rsid w:val="00ED4E5C"/>
    <w:rsid w:val="00ED682B"/>
    <w:rsid w:val="00ED6CA8"/>
    <w:rsid w:val="00ED6CEB"/>
    <w:rsid w:val="00ED7594"/>
    <w:rsid w:val="00ED7E67"/>
    <w:rsid w:val="00EE06ED"/>
    <w:rsid w:val="00EE18AD"/>
    <w:rsid w:val="00EE20EB"/>
    <w:rsid w:val="00EE2A4D"/>
    <w:rsid w:val="00EE3746"/>
    <w:rsid w:val="00EE4E45"/>
    <w:rsid w:val="00EE4E69"/>
    <w:rsid w:val="00EE4F26"/>
    <w:rsid w:val="00EE5192"/>
    <w:rsid w:val="00EF2654"/>
    <w:rsid w:val="00EF266F"/>
    <w:rsid w:val="00EF36EC"/>
    <w:rsid w:val="00EF390A"/>
    <w:rsid w:val="00EF4265"/>
    <w:rsid w:val="00EF42F1"/>
    <w:rsid w:val="00EF5529"/>
    <w:rsid w:val="00F00283"/>
    <w:rsid w:val="00F0135D"/>
    <w:rsid w:val="00F01551"/>
    <w:rsid w:val="00F02337"/>
    <w:rsid w:val="00F032D9"/>
    <w:rsid w:val="00F04526"/>
    <w:rsid w:val="00F06DFA"/>
    <w:rsid w:val="00F07769"/>
    <w:rsid w:val="00F10393"/>
    <w:rsid w:val="00F10B9A"/>
    <w:rsid w:val="00F112A2"/>
    <w:rsid w:val="00F13F60"/>
    <w:rsid w:val="00F140F6"/>
    <w:rsid w:val="00F15AA9"/>
    <w:rsid w:val="00F15C80"/>
    <w:rsid w:val="00F16ACF"/>
    <w:rsid w:val="00F17CDA"/>
    <w:rsid w:val="00F2023C"/>
    <w:rsid w:val="00F204F6"/>
    <w:rsid w:val="00F20868"/>
    <w:rsid w:val="00F20956"/>
    <w:rsid w:val="00F20A1D"/>
    <w:rsid w:val="00F20E51"/>
    <w:rsid w:val="00F2237E"/>
    <w:rsid w:val="00F225B4"/>
    <w:rsid w:val="00F22C01"/>
    <w:rsid w:val="00F22FBD"/>
    <w:rsid w:val="00F22FDA"/>
    <w:rsid w:val="00F24D02"/>
    <w:rsid w:val="00F25A66"/>
    <w:rsid w:val="00F25F24"/>
    <w:rsid w:val="00F27D42"/>
    <w:rsid w:val="00F31636"/>
    <w:rsid w:val="00F32BC7"/>
    <w:rsid w:val="00F333BC"/>
    <w:rsid w:val="00F3409C"/>
    <w:rsid w:val="00F35195"/>
    <w:rsid w:val="00F3555B"/>
    <w:rsid w:val="00F37156"/>
    <w:rsid w:val="00F3772B"/>
    <w:rsid w:val="00F4079E"/>
    <w:rsid w:val="00F41691"/>
    <w:rsid w:val="00F423D8"/>
    <w:rsid w:val="00F42C30"/>
    <w:rsid w:val="00F42CF3"/>
    <w:rsid w:val="00F45C5C"/>
    <w:rsid w:val="00F46119"/>
    <w:rsid w:val="00F474C5"/>
    <w:rsid w:val="00F50E4B"/>
    <w:rsid w:val="00F518EA"/>
    <w:rsid w:val="00F52CCE"/>
    <w:rsid w:val="00F53448"/>
    <w:rsid w:val="00F539D5"/>
    <w:rsid w:val="00F542C0"/>
    <w:rsid w:val="00F5532C"/>
    <w:rsid w:val="00F5629B"/>
    <w:rsid w:val="00F568BC"/>
    <w:rsid w:val="00F572DF"/>
    <w:rsid w:val="00F577AD"/>
    <w:rsid w:val="00F578AE"/>
    <w:rsid w:val="00F60394"/>
    <w:rsid w:val="00F61C82"/>
    <w:rsid w:val="00F62371"/>
    <w:rsid w:val="00F62392"/>
    <w:rsid w:val="00F62A58"/>
    <w:rsid w:val="00F630B8"/>
    <w:rsid w:val="00F6632A"/>
    <w:rsid w:val="00F66B55"/>
    <w:rsid w:val="00F670C8"/>
    <w:rsid w:val="00F7165E"/>
    <w:rsid w:val="00F71F21"/>
    <w:rsid w:val="00F72384"/>
    <w:rsid w:val="00F725FE"/>
    <w:rsid w:val="00F735D2"/>
    <w:rsid w:val="00F7394B"/>
    <w:rsid w:val="00F75110"/>
    <w:rsid w:val="00F75278"/>
    <w:rsid w:val="00F8149C"/>
    <w:rsid w:val="00F81AD0"/>
    <w:rsid w:val="00F832A2"/>
    <w:rsid w:val="00F841B3"/>
    <w:rsid w:val="00F851D2"/>
    <w:rsid w:val="00F86983"/>
    <w:rsid w:val="00F86EEF"/>
    <w:rsid w:val="00F87484"/>
    <w:rsid w:val="00F90AB8"/>
    <w:rsid w:val="00F90E64"/>
    <w:rsid w:val="00F91123"/>
    <w:rsid w:val="00F91FA2"/>
    <w:rsid w:val="00F9367A"/>
    <w:rsid w:val="00F946CD"/>
    <w:rsid w:val="00F9489E"/>
    <w:rsid w:val="00F96BA7"/>
    <w:rsid w:val="00F97884"/>
    <w:rsid w:val="00FA0D8C"/>
    <w:rsid w:val="00FA107E"/>
    <w:rsid w:val="00FA10E0"/>
    <w:rsid w:val="00FA2444"/>
    <w:rsid w:val="00FA24B4"/>
    <w:rsid w:val="00FA2EB2"/>
    <w:rsid w:val="00FA3036"/>
    <w:rsid w:val="00FA52BE"/>
    <w:rsid w:val="00FA5CE5"/>
    <w:rsid w:val="00FA652B"/>
    <w:rsid w:val="00FA68D5"/>
    <w:rsid w:val="00FB0F85"/>
    <w:rsid w:val="00FB151A"/>
    <w:rsid w:val="00FB22C6"/>
    <w:rsid w:val="00FB32C2"/>
    <w:rsid w:val="00FB4302"/>
    <w:rsid w:val="00FB4E20"/>
    <w:rsid w:val="00FB72DC"/>
    <w:rsid w:val="00FB7657"/>
    <w:rsid w:val="00FC001B"/>
    <w:rsid w:val="00FC0929"/>
    <w:rsid w:val="00FC2E2C"/>
    <w:rsid w:val="00FC3EEB"/>
    <w:rsid w:val="00FC55E0"/>
    <w:rsid w:val="00FC5957"/>
    <w:rsid w:val="00FD0AD9"/>
    <w:rsid w:val="00FD0B0E"/>
    <w:rsid w:val="00FD0EA7"/>
    <w:rsid w:val="00FD2CD7"/>
    <w:rsid w:val="00FD3311"/>
    <w:rsid w:val="00FD41AA"/>
    <w:rsid w:val="00FD4726"/>
    <w:rsid w:val="00FD509A"/>
    <w:rsid w:val="00FE07DA"/>
    <w:rsid w:val="00FE2AF8"/>
    <w:rsid w:val="00FE47B2"/>
    <w:rsid w:val="00FE47D5"/>
    <w:rsid w:val="00FE6116"/>
    <w:rsid w:val="00FE687F"/>
    <w:rsid w:val="00FE6B21"/>
    <w:rsid w:val="00FE7773"/>
    <w:rsid w:val="00FF0FAC"/>
    <w:rsid w:val="00FF157E"/>
    <w:rsid w:val="00FF24D6"/>
    <w:rsid w:val="00FF3721"/>
    <w:rsid w:val="00FF3981"/>
    <w:rsid w:val="00FF4764"/>
    <w:rsid w:val="00FF5B7D"/>
    <w:rsid w:val="00FF69FE"/>
    <w:rsid w:val="00FF7B5B"/>
    <w:rsid w:val="016E2F6B"/>
    <w:rsid w:val="01822573"/>
    <w:rsid w:val="01C861E2"/>
    <w:rsid w:val="02AC337B"/>
    <w:rsid w:val="03276277"/>
    <w:rsid w:val="03372318"/>
    <w:rsid w:val="036B6297"/>
    <w:rsid w:val="040354C1"/>
    <w:rsid w:val="04586B10"/>
    <w:rsid w:val="05E3295A"/>
    <w:rsid w:val="06133508"/>
    <w:rsid w:val="064B3210"/>
    <w:rsid w:val="06B31DF8"/>
    <w:rsid w:val="06C74ECC"/>
    <w:rsid w:val="08343757"/>
    <w:rsid w:val="084A5093"/>
    <w:rsid w:val="088E16D3"/>
    <w:rsid w:val="089E18B6"/>
    <w:rsid w:val="08A06CFB"/>
    <w:rsid w:val="0A251FCB"/>
    <w:rsid w:val="0A8121C5"/>
    <w:rsid w:val="0CC47EE3"/>
    <w:rsid w:val="0D880D3A"/>
    <w:rsid w:val="0E753898"/>
    <w:rsid w:val="0EEB4B96"/>
    <w:rsid w:val="0F0369BB"/>
    <w:rsid w:val="0FAF6E4C"/>
    <w:rsid w:val="10076292"/>
    <w:rsid w:val="101A25CF"/>
    <w:rsid w:val="116C40A8"/>
    <w:rsid w:val="11CD670C"/>
    <w:rsid w:val="11DF7CB2"/>
    <w:rsid w:val="12505D75"/>
    <w:rsid w:val="12727432"/>
    <w:rsid w:val="12E35567"/>
    <w:rsid w:val="13F00AFD"/>
    <w:rsid w:val="14096B23"/>
    <w:rsid w:val="144162BD"/>
    <w:rsid w:val="15C7624D"/>
    <w:rsid w:val="15E96F9E"/>
    <w:rsid w:val="15EC3049"/>
    <w:rsid w:val="16241714"/>
    <w:rsid w:val="16672C40"/>
    <w:rsid w:val="16F379A0"/>
    <w:rsid w:val="16FC76F2"/>
    <w:rsid w:val="172D48D7"/>
    <w:rsid w:val="1754259F"/>
    <w:rsid w:val="17580641"/>
    <w:rsid w:val="17A8761C"/>
    <w:rsid w:val="17B44FF8"/>
    <w:rsid w:val="17D01877"/>
    <w:rsid w:val="183F0D66"/>
    <w:rsid w:val="185D3935"/>
    <w:rsid w:val="187F5606"/>
    <w:rsid w:val="18DC0363"/>
    <w:rsid w:val="194F6D87"/>
    <w:rsid w:val="19524AC9"/>
    <w:rsid w:val="197F1CDE"/>
    <w:rsid w:val="1A143B2C"/>
    <w:rsid w:val="1A223428"/>
    <w:rsid w:val="1A535F3F"/>
    <w:rsid w:val="1A615B2A"/>
    <w:rsid w:val="1B9051CD"/>
    <w:rsid w:val="1BB30A25"/>
    <w:rsid w:val="1BC87BD6"/>
    <w:rsid w:val="1CD1242D"/>
    <w:rsid w:val="1D8935A9"/>
    <w:rsid w:val="1E1F6D0D"/>
    <w:rsid w:val="1E7B19B0"/>
    <w:rsid w:val="1E976938"/>
    <w:rsid w:val="1EDE4F8B"/>
    <w:rsid w:val="1FA845B6"/>
    <w:rsid w:val="20915ED7"/>
    <w:rsid w:val="20B10327"/>
    <w:rsid w:val="20EC421C"/>
    <w:rsid w:val="21136AAE"/>
    <w:rsid w:val="216805BB"/>
    <w:rsid w:val="22C619BB"/>
    <w:rsid w:val="22F30A66"/>
    <w:rsid w:val="23604683"/>
    <w:rsid w:val="23BA5E52"/>
    <w:rsid w:val="24832658"/>
    <w:rsid w:val="25F57150"/>
    <w:rsid w:val="26025181"/>
    <w:rsid w:val="260D2E06"/>
    <w:rsid w:val="262E11FE"/>
    <w:rsid w:val="264310AA"/>
    <w:rsid w:val="28723C10"/>
    <w:rsid w:val="28B1016B"/>
    <w:rsid w:val="294C6E3F"/>
    <w:rsid w:val="29986E12"/>
    <w:rsid w:val="2A4402CE"/>
    <w:rsid w:val="2A9D36CA"/>
    <w:rsid w:val="2AD86C74"/>
    <w:rsid w:val="2B1F32BA"/>
    <w:rsid w:val="2C2458C0"/>
    <w:rsid w:val="2C8622B8"/>
    <w:rsid w:val="2DD969F0"/>
    <w:rsid w:val="2E0B5DA9"/>
    <w:rsid w:val="2E727D24"/>
    <w:rsid w:val="2EDE2C2F"/>
    <w:rsid w:val="2EF82E86"/>
    <w:rsid w:val="2F260B23"/>
    <w:rsid w:val="2F5057A4"/>
    <w:rsid w:val="2FE006CA"/>
    <w:rsid w:val="302F2DB4"/>
    <w:rsid w:val="306A1866"/>
    <w:rsid w:val="30890E48"/>
    <w:rsid w:val="308F3380"/>
    <w:rsid w:val="31B554AE"/>
    <w:rsid w:val="31E556C0"/>
    <w:rsid w:val="32390F78"/>
    <w:rsid w:val="32FD4289"/>
    <w:rsid w:val="3344327C"/>
    <w:rsid w:val="33821772"/>
    <w:rsid w:val="34100617"/>
    <w:rsid w:val="345968B4"/>
    <w:rsid w:val="34CF3896"/>
    <w:rsid w:val="34DB3F45"/>
    <w:rsid w:val="353005BD"/>
    <w:rsid w:val="35323712"/>
    <w:rsid w:val="36AE1139"/>
    <w:rsid w:val="36C009FE"/>
    <w:rsid w:val="3731165C"/>
    <w:rsid w:val="381C6576"/>
    <w:rsid w:val="38871C41"/>
    <w:rsid w:val="38953844"/>
    <w:rsid w:val="3AAF36D1"/>
    <w:rsid w:val="3B7D37CF"/>
    <w:rsid w:val="3BB07701"/>
    <w:rsid w:val="3CB85E76"/>
    <w:rsid w:val="3CE57F60"/>
    <w:rsid w:val="3D557FF1"/>
    <w:rsid w:val="3D7E738B"/>
    <w:rsid w:val="3D880301"/>
    <w:rsid w:val="3DA16E28"/>
    <w:rsid w:val="3E615A39"/>
    <w:rsid w:val="3E6D1A7C"/>
    <w:rsid w:val="3EA016A8"/>
    <w:rsid w:val="3EEB1FE3"/>
    <w:rsid w:val="3EEE0042"/>
    <w:rsid w:val="3F127585"/>
    <w:rsid w:val="408E5B37"/>
    <w:rsid w:val="419A06F0"/>
    <w:rsid w:val="43BA1B9F"/>
    <w:rsid w:val="44475071"/>
    <w:rsid w:val="446007E2"/>
    <w:rsid w:val="4508601D"/>
    <w:rsid w:val="45210451"/>
    <w:rsid w:val="45833790"/>
    <w:rsid w:val="45C51FFB"/>
    <w:rsid w:val="46A0147E"/>
    <w:rsid w:val="46D02A05"/>
    <w:rsid w:val="47356950"/>
    <w:rsid w:val="47D04329"/>
    <w:rsid w:val="47D3D07B"/>
    <w:rsid w:val="4805317B"/>
    <w:rsid w:val="483F35AC"/>
    <w:rsid w:val="48531C72"/>
    <w:rsid w:val="49734B0E"/>
    <w:rsid w:val="49832A37"/>
    <w:rsid w:val="4A214813"/>
    <w:rsid w:val="4A881849"/>
    <w:rsid w:val="4AC535DC"/>
    <w:rsid w:val="4C74543B"/>
    <w:rsid w:val="4C8F58A0"/>
    <w:rsid w:val="4D0075BB"/>
    <w:rsid w:val="4D420FCC"/>
    <w:rsid w:val="4D423F31"/>
    <w:rsid w:val="4D4F354E"/>
    <w:rsid w:val="4D5B4FF3"/>
    <w:rsid w:val="4D701BFB"/>
    <w:rsid w:val="4D7B1A4B"/>
    <w:rsid w:val="4D814B73"/>
    <w:rsid w:val="4DA63FD2"/>
    <w:rsid w:val="4E5B4A4D"/>
    <w:rsid w:val="4E881E17"/>
    <w:rsid w:val="4F170FE3"/>
    <w:rsid w:val="4FBA46DA"/>
    <w:rsid w:val="4FC21359"/>
    <w:rsid w:val="4FE026D5"/>
    <w:rsid w:val="501F1302"/>
    <w:rsid w:val="50667549"/>
    <w:rsid w:val="506F328F"/>
    <w:rsid w:val="508C2093"/>
    <w:rsid w:val="50D7494B"/>
    <w:rsid w:val="50EF2622"/>
    <w:rsid w:val="538C14D6"/>
    <w:rsid w:val="54623CE6"/>
    <w:rsid w:val="54B17B80"/>
    <w:rsid w:val="55C75822"/>
    <w:rsid w:val="560F2205"/>
    <w:rsid w:val="56802400"/>
    <w:rsid w:val="56F32E7E"/>
    <w:rsid w:val="57C739B1"/>
    <w:rsid w:val="580249E9"/>
    <w:rsid w:val="587C45F4"/>
    <w:rsid w:val="5921205D"/>
    <w:rsid w:val="59464DA9"/>
    <w:rsid w:val="59DE667F"/>
    <w:rsid w:val="59EC032B"/>
    <w:rsid w:val="5A594224"/>
    <w:rsid w:val="5AAB2D5E"/>
    <w:rsid w:val="5B1218EE"/>
    <w:rsid w:val="5B346A31"/>
    <w:rsid w:val="5B93778C"/>
    <w:rsid w:val="5BB56ECC"/>
    <w:rsid w:val="5C141A83"/>
    <w:rsid w:val="5C2C472A"/>
    <w:rsid w:val="5CB204E2"/>
    <w:rsid w:val="5CE657D1"/>
    <w:rsid w:val="5D8B722E"/>
    <w:rsid w:val="5DB46785"/>
    <w:rsid w:val="5E517389"/>
    <w:rsid w:val="5E532181"/>
    <w:rsid w:val="5EBD2134"/>
    <w:rsid w:val="5EF507EC"/>
    <w:rsid w:val="5F763738"/>
    <w:rsid w:val="60016541"/>
    <w:rsid w:val="60B92683"/>
    <w:rsid w:val="614C3178"/>
    <w:rsid w:val="615A3AE7"/>
    <w:rsid w:val="617D4A53"/>
    <w:rsid w:val="61E37639"/>
    <w:rsid w:val="62083543"/>
    <w:rsid w:val="634E31D8"/>
    <w:rsid w:val="63D30937"/>
    <w:rsid w:val="64F658D5"/>
    <w:rsid w:val="653E102A"/>
    <w:rsid w:val="65E11D17"/>
    <w:rsid w:val="660550ED"/>
    <w:rsid w:val="6658120C"/>
    <w:rsid w:val="669255A3"/>
    <w:rsid w:val="67191D4F"/>
    <w:rsid w:val="677E18E3"/>
    <w:rsid w:val="67FA08D4"/>
    <w:rsid w:val="68A21FE1"/>
    <w:rsid w:val="68AB5C3C"/>
    <w:rsid w:val="69342797"/>
    <w:rsid w:val="6961118B"/>
    <w:rsid w:val="69801C11"/>
    <w:rsid w:val="69A00347"/>
    <w:rsid w:val="69A165D2"/>
    <w:rsid w:val="69E66E4A"/>
    <w:rsid w:val="69FF6F75"/>
    <w:rsid w:val="6A44520F"/>
    <w:rsid w:val="6AAC6C55"/>
    <w:rsid w:val="6AB534D2"/>
    <w:rsid w:val="6B8359E9"/>
    <w:rsid w:val="6C837854"/>
    <w:rsid w:val="6C9107E2"/>
    <w:rsid w:val="6C9400B3"/>
    <w:rsid w:val="6D13457E"/>
    <w:rsid w:val="6DCE0BF4"/>
    <w:rsid w:val="6DF14613"/>
    <w:rsid w:val="6FB34770"/>
    <w:rsid w:val="6FFF50D5"/>
    <w:rsid w:val="70234DF8"/>
    <w:rsid w:val="704E04FB"/>
    <w:rsid w:val="71FC4AE7"/>
    <w:rsid w:val="723D130F"/>
    <w:rsid w:val="726A16B0"/>
    <w:rsid w:val="728A58AF"/>
    <w:rsid w:val="72933A08"/>
    <w:rsid w:val="7487479C"/>
    <w:rsid w:val="75022074"/>
    <w:rsid w:val="75232450"/>
    <w:rsid w:val="75FF8DB7"/>
    <w:rsid w:val="762A3631"/>
    <w:rsid w:val="76571F4C"/>
    <w:rsid w:val="76633449"/>
    <w:rsid w:val="76CD220E"/>
    <w:rsid w:val="772A2094"/>
    <w:rsid w:val="779B27B0"/>
    <w:rsid w:val="78D930EC"/>
    <w:rsid w:val="79454FE9"/>
    <w:rsid w:val="79617D40"/>
    <w:rsid w:val="799A6D1F"/>
    <w:rsid w:val="7A640EA5"/>
    <w:rsid w:val="7A9419C0"/>
    <w:rsid w:val="7B8C4E01"/>
    <w:rsid w:val="7C52026F"/>
    <w:rsid w:val="7C66113B"/>
    <w:rsid w:val="7D020E63"/>
    <w:rsid w:val="7D0640FC"/>
    <w:rsid w:val="7D6E3592"/>
    <w:rsid w:val="7DC54DCC"/>
    <w:rsid w:val="7FC84B3A"/>
    <w:rsid w:val="7FD5285F"/>
    <w:rsid w:val="7FDA536C"/>
    <w:rsid w:val="95E741D7"/>
    <w:rsid w:val="9FFF5BAA"/>
    <w:rsid w:val="B7D7C4EC"/>
    <w:rsid w:val="CEF997C9"/>
    <w:rsid w:val="DCA75BC9"/>
    <w:rsid w:val="EB3FEA46"/>
    <w:rsid w:val="EFF78D35"/>
    <w:rsid w:val="F7BD6B4B"/>
    <w:rsid w:val="FC788036"/>
    <w:rsid w:val="FE7748C0"/>
    <w:rsid w:val="FE7D44E8"/>
    <w:rsid w:val="FEFFF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99" w:semiHidden="0" w:name="Date"/>
    <w:lsdException w:qFormat="1" w:unhideWhenUsed="0" w:uiPriority="99" w:semiHidden="0" w:name="Body Text First Indent"/>
    <w:lsdException w:qFormat="1" w:unhideWhenUsed="0" w:uiPriority="0"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0"/>
    <w:autoRedefine/>
    <w:qFormat/>
    <w:uiPriority w:val="9"/>
    <w:pPr>
      <w:keepNext/>
      <w:autoSpaceDE w:val="0"/>
      <w:autoSpaceDN w:val="0"/>
      <w:adjustRightInd w:val="0"/>
      <w:jc w:val="left"/>
      <w:outlineLvl w:val="0"/>
    </w:pPr>
    <w:rPr>
      <w:rFonts w:ascii="仿宋_GB2312" w:hAnsi="仿宋_GB2312"/>
      <w:b/>
      <w:bCs/>
      <w:color w:val="000000"/>
      <w:kern w:val="0"/>
      <w:sz w:val="28"/>
      <w:szCs w:val="20"/>
    </w:rPr>
  </w:style>
  <w:style w:type="paragraph" w:styleId="4">
    <w:name w:val="heading 2"/>
    <w:basedOn w:val="1"/>
    <w:next w:val="1"/>
    <w:link w:val="51"/>
    <w:autoRedefine/>
    <w:qFormat/>
    <w:uiPriority w:val="0"/>
    <w:pPr>
      <w:keepNext/>
      <w:keepLines/>
      <w:spacing w:before="120" w:after="120" w:line="360" w:lineRule="auto"/>
      <w:jc w:val="center"/>
      <w:outlineLvl w:val="1"/>
    </w:pPr>
    <w:rPr>
      <w:rFonts w:ascii="Arial" w:hAnsi="Arial"/>
      <w:b/>
      <w:bCs/>
      <w:kern w:val="0"/>
      <w:sz w:val="24"/>
    </w:rPr>
  </w:style>
  <w:style w:type="paragraph" w:styleId="5">
    <w:name w:val="heading 3"/>
    <w:basedOn w:val="1"/>
    <w:next w:val="1"/>
    <w:link w:val="52"/>
    <w:autoRedefine/>
    <w:qFormat/>
    <w:uiPriority w:val="9"/>
    <w:pPr>
      <w:keepNext/>
      <w:keepLines/>
      <w:spacing w:before="120" w:after="120" w:line="360" w:lineRule="auto"/>
      <w:ind w:firstLine="200" w:firstLineChars="200"/>
      <w:jc w:val="center"/>
      <w:outlineLvl w:val="2"/>
    </w:pPr>
    <w:rPr>
      <w:rFonts w:ascii="宋体"/>
      <w:b/>
      <w:bCs/>
      <w:kern w:val="0"/>
      <w:sz w:val="32"/>
      <w:szCs w:val="32"/>
    </w:rPr>
  </w:style>
  <w:style w:type="paragraph" w:styleId="6">
    <w:name w:val="heading 4"/>
    <w:basedOn w:val="1"/>
    <w:next w:val="1"/>
    <w:link w:val="53"/>
    <w:autoRedefine/>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54"/>
    <w:autoRedefine/>
    <w:qFormat/>
    <w:uiPriority w:val="9"/>
    <w:pPr>
      <w:keepNext/>
      <w:keepLines/>
      <w:numPr>
        <w:ilvl w:val="4"/>
        <w:numId w:val="1"/>
      </w:numPr>
      <w:adjustRightInd w:val="0"/>
      <w:spacing w:before="280" w:after="290" w:line="376" w:lineRule="atLeast"/>
      <w:textAlignment w:val="baseline"/>
      <w:outlineLvl w:val="4"/>
    </w:pPr>
    <w:rPr>
      <w:b/>
      <w:kern w:val="0"/>
      <w:sz w:val="24"/>
    </w:rPr>
  </w:style>
  <w:style w:type="paragraph" w:styleId="8">
    <w:name w:val="heading 6"/>
    <w:basedOn w:val="1"/>
    <w:next w:val="1"/>
    <w:link w:val="55"/>
    <w:autoRedefine/>
    <w:qFormat/>
    <w:uiPriority w:val="9"/>
    <w:pPr>
      <w:keepNext/>
      <w:keepLines/>
      <w:spacing w:before="240" w:after="64" w:line="320" w:lineRule="auto"/>
      <w:outlineLvl w:val="5"/>
    </w:pPr>
    <w:rPr>
      <w:rFonts w:ascii="等线 Light" w:hAnsi="等线 Light" w:eastAsia="等线 Light"/>
      <w:b/>
      <w:bCs/>
      <w:sz w:val="24"/>
    </w:rPr>
  </w:style>
  <w:style w:type="paragraph" w:styleId="9">
    <w:name w:val="heading 7"/>
    <w:basedOn w:val="8"/>
    <w:next w:val="1"/>
    <w:link w:val="56"/>
    <w:autoRedefine/>
    <w:qFormat/>
    <w:uiPriority w:val="0"/>
    <w:pPr>
      <w:keepNext w:val="0"/>
      <w:keepLines w:val="0"/>
      <w:tabs>
        <w:tab w:val="left" w:pos="960"/>
        <w:tab w:val="left" w:pos="2940"/>
      </w:tabs>
      <w:spacing w:before="0" w:after="0" w:line="360" w:lineRule="auto"/>
      <w:ind w:left="2940" w:hanging="420"/>
      <w:outlineLvl w:val="6"/>
    </w:pPr>
    <w:rPr>
      <w:rFonts w:ascii="宋体" w:hAnsi="Times New Roman" w:eastAsia="宋体"/>
      <w:b w:val="0"/>
      <w:bCs w:val="0"/>
      <w:szCs w:val="20"/>
    </w:rPr>
  </w:style>
  <w:style w:type="paragraph" w:styleId="10">
    <w:name w:val="heading 8"/>
    <w:basedOn w:val="9"/>
    <w:next w:val="1"/>
    <w:link w:val="57"/>
    <w:autoRedefine/>
    <w:qFormat/>
    <w:uiPriority w:val="0"/>
    <w:pPr>
      <w:tabs>
        <w:tab w:val="left" w:pos="3360"/>
        <w:tab w:val="clear" w:pos="960"/>
      </w:tabs>
      <w:ind w:left="3360"/>
      <w:outlineLvl w:val="7"/>
    </w:pPr>
  </w:style>
  <w:style w:type="character" w:default="1" w:styleId="42">
    <w:name w:val="Default Paragraph Font"/>
    <w:autoRedefine/>
    <w:semiHidden/>
    <w:unhideWhenUsed/>
    <w:qFormat/>
    <w:uiPriority w:val="1"/>
  </w:style>
  <w:style w:type="table" w:default="1" w:styleId="40">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49"/>
    <w:autoRedefine/>
    <w:unhideWhenUsed/>
    <w:qFormat/>
    <w:uiPriority w:val="99"/>
    <w:pPr>
      <w:spacing w:after="120"/>
    </w:pPr>
    <w:rPr>
      <w:kern w:val="0"/>
      <w:sz w:val="24"/>
    </w:rPr>
  </w:style>
  <w:style w:type="paragraph" w:styleId="11">
    <w:name w:val="toc 7"/>
    <w:basedOn w:val="1"/>
    <w:next w:val="1"/>
    <w:autoRedefine/>
    <w:qFormat/>
    <w:uiPriority w:val="39"/>
    <w:pPr>
      <w:ind w:left="1200" w:leftChars="1200"/>
    </w:pPr>
  </w:style>
  <w:style w:type="paragraph" w:styleId="12">
    <w:name w:val="Normal Indent"/>
    <w:basedOn w:val="1"/>
    <w:next w:val="1"/>
    <w:link w:val="58"/>
    <w:autoRedefine/>
    <w:qFormat/>
    <w:uiPriority w:val="0"/>
    <w:pPr>
      <w:tabs>
        <w:tab w:val="left" w:pos="750"/>
      </w:tabs>
      <w:spacing w:beforeLines="50" w:line="300" w:lineRule="auto"/>
      <w:ind w:firstLine="200" w:firstLineChars="200"/>
    </w:pPr>
    <w:rPr>
      <w:rFonts w:ascii="宋体"/>
      <w:szCs w:val="20"/>
    </w:rPr>
  </w:style>
  <w:style w:type="paragraph" w:styleId="13">
    <w:name w:val="caption"/>
    <w:basedOn w:val="1"/>
    <w:next w:val="1"/>
    <w:link w:val="59"/>
    <w:autoRedefine/>
    <w:qFormat/>
    <w:uiPriority w:val="0"/>
    <w:pPr>
      <w:spacing w:line="300" w:lineRule="auto"/>
    </w:pPr>
    <w:rPr>
      <w:rFonts w:ascii="Cambria" w:hAnsi="Cambria" w:eastAsia="黑体"/>
      <w:kern w:val="0"/>
      <w:sz w:val="20"/>
      <w:szCs w:val="20"/>
    </w:rPr>
  </w:style>
  <w:style w:type="paragraph" w:styleId="14">
    <w:name w:val="Document Map"/>
    <w:basedOn w:val="1"/>
    <w:link w:val="60"/>
    <w:autoRedefine/>
    <w:qFormat/>
    <w:uiPriority w:val="99"/>
    <w:pPr>
      <w:shd w:val="clear" w:color="auto" w:fill="000080"/>
    </w:pPr>
    <w:rPr>
      <w:kern w:val="0"/>
      <w:sz w:val="24"/>
    </w:rPr>
  </w:style>
  <w:style w:type="paragraph" w:styleId="15">
    <w:name w:val="annotation text"/>
    <w:basedOn w:val="1"/>
    <w:link w:val="61"/>
    <w:autoRedefine/>
    <w:qFormat/>
    <w:uiPriority w:val="99"/>
    <w:pPr>
      <w:jc w:val="left"/>
    </w:pPr>
    <w:rPr>
      <w:rFonts w:eastAsia="黑体"/>
      <w:color w:val="C00000"/>
      <w:kern w:val="0"/>
      <w:sz w:val="28"/>
    </w:rPr>
  </w:style>
  <w:style w:type="paragraph" w:styleId="16">
    <w:name w:val="Body Text Indent"/>
    <w:basedOn w:val="1"/>
    <w:next w:val="17"/>
    <w:link w:val="62"/>
    <w:autoRedefine/>
    <w:qFormat/>
    <w:uiPriority w:val="99"/>
    <w:pPr>
      <w:ind w:firstLine="200" w:firstLineChars="200"/>
      <w:jc w:val="left"/>
    </w:pPr>
    <w:rPr>
      <w:rFonts w:ascii="仿宋_GB2312" w:eastAsia="仿宋_GB2312"/>
      <w:kern w:val="0"/>
      <w:sz w:val="24"/>
    </w:rPr>
  </w:style>
  <w:style w:type="paragraph" w:styleId="17">
    <w:name w:val="Body Text First Indent 2"/>
    <w:basedOn w:val="16"/>
    <w:next w:val="1"/>
    <w:autoRedefine/>
    <w:qFormat/>
    <w:uiPriority w:val="0"/>
    <w:pPr>
      <w:widowControl/>
      <w:tabs>
        <w:tab w:val="left" w:pos="3996"/>
      </w:tabs>
      <w:spacing w:after="120"/>
      <w:ind w:left="420" w:leftChars="200" w:firstLine="420"/>
    </w:pPr>
    <w:rPr>
      <w:rFonts w:ascii="Times New Roman"/>
      <w:sz w:val="20"/>
      <w:szCs w:val="20"/>
    </w:rPr>
  </w:style>
  <w:style w:type="paragraph" w:styleId="18">
    <w:name w:val="toc 5"/>
    <w:basedOn w:val="1"/>
    <w:next w:val="1"/>
    <w:autoRedefine/>
    <w:qFormat/>
    <w:uiPriority w:val="39"/>
    <w:pPr>
      <w:ind w:left="800" w:leftChars="800"/>
    </w:pPr>
  </w:style>
  <w:style w:type="paragraph" w:styleId="19">
    <w:name w:val="toc 3"/>
    <w:basedOn w:val="1"/>
    <w:next w:val="1"/>
    <w:autoRedefine/>
    <w:qFormat/>
    <w:uiPriority w:val="39"/>
    <w:pPr>
      <w:tabs>
        <w:tab w:val="left" w:pos="851"/>
        <w:tab w:val="right" w:leader="dot" w:pos="9639"/>
      </w:tabs>
      <w:spacing w:line="360" w:lineRule="auto"/>
      <w:ind w:left="567" w:leftChars="270" w:right="80" w:rightChars="38"/>
    </w:pPr>
  </w:style>
  <w:style w:type="paragraph" w:styleId="20">
    <w:name w:val="Plain Text"/>
    <w:basedOn w:val="1"/>
    <w:next w:val="1"/>
    <w:link w:val="64"/>
    <w:autoRedefine/>
    <w:qFormat/>
    <w:uiPriority w:val="0"/>
    <w:pPr>
      <w:autoSpaceDE w:val="0"/>
      <w:autoSpaceDN w:val="0"/>
      <w:adjustRightInd w:val="0"/>
      <w:jc w:val="left"/>
    </w:pPr>
    <w:rPr>
      <w:rFonts w:ascii="宋体" w:hAnsi="Courier New"/>
      <w:szCs w:val="21"/>
    </w:rPr>
  </w:style>
  <w:style w:type="paragraph" w:styleId="21">
    <w:name w:val="toc 8"/>
    <w:basedOn w:val="1"/>
    <w:next w:val="1"/>
    <w:autoRedefine/>
    <w:qFormat/>
    <w:uiPriority w:val="39"/>
    <w:pPr>
      <w:ind w:left="1400" w:leftChars="1400"/>
    </w:pPr>
  </w:style>
  <w:style w:type="paragraph" w:styleId="22">
    <w:name w:val="Date"/>
    <w:basedOn w:val="1"/>
    <w:next w:val="1"/>
    <w:link w:val="65"/>
    <w:autoRedefine/>
    <w:qFormat/>
    <w:uiPriority w:val="99"/>
    <w:pPr>
      <w:ind w:left="2500" w:leftChars="2500"/>
    </w:pPr>
    <w:rPr>
      <w:rFonts w:ascii="仿宋_GB2312" w:eastAsia="仿宋_GB2312"/>
      <w:kern w:val="0"/>
      <w:sz w:val="24"/>
    </w:rPr>
  </w:style>
  <w:style w:type="paragraph" w:styleId="23">
    <w:name w:val="Body Text Indent 2"/>
    <w:basedOn w:val="1"/>
    <w:link w:val="66"/>
    <w:autoRedefine/>
    <w:qFormat/>
    <w:uiPriority w:val="99"/>
    <w:pPr>
      <w:spacing w:line="60" w:lineRule="auto"/>
      <w:ind w:firstLine="128" w:firstLineChars="128"/>
    </w:pPr>
    <w:rPr>
      <w:rFonts w:ascii="仿宋_GB2312" w:eastAsia="仿宋_GB2312"/>
      <w:kern w:val="0"/>
      <w:sz w:val="24"/>
    </w:rPr>
  </w:style>
  <w:style w:type="paragraph" w:styleId="24">
    <w:name w:val="Balloon Text"/>
    <w:basedOn w:val="1"/>
    <w:link w:val="67"/>
    <w:autoRedefine/>
    <w:qFormat/>
    <w:uiPriority w:val="0"/>
    <w:rPr>
      <w:kern w:val="0"/>
      <w:sz w:val="18"/>
      <w:szCs w:val="18"/>
    </w:rPr>
  </w:style>
  <w:style w:type="paragraph" w:styleId="25">
    <w:name w:val="footer"/>
    <w:basedOn w:val="1"/>
    <w:link w:val="68"/>
    <w:autoRedefine/>
    <w:unhideWhenUsed/>
    <w:qFormat/>
    <w:uiPriority w:val="99"/>
    <w:pPr>
      <w:tabs>
        <w:tab w:val="center" w:pos="4153"/>
        <w:tab w:val="right" w:pos="8306"/>
      </w:tabs>
      <w:snapToGrid w:val="0"/>
      <w:jc w:val="left"/>
    </w:pPr>
    <w:rPr>
      <w:kern w:val="0"/>
      <w:sz w:val="18"/>
      <w:szCs w:val="18"/>
    </w:rPr>
  </w:style>
  <w:style w:type="paragraph" w:styleId="26">
    <w:name w:val="header"/>
    <w:basedOn w:val="1"/>
    <w:link w:val="69"/>
    <w:autoRedefine/>
    <w:unhideWhenUsed/>
    <w:qFormat/>
    <w:uiPriority w:val="0"/>
    <w:pPr>
      <w:pBdr>
        <w:bottom w:val="single" w:color="auto" w:sz="6" w:space="1"/>
      </w:pBdr>
      <w:tabs>
        <w:tab w:val="center" w:pos="4153"/>
        <w:tab w:val="right" w:pos="8306"/>
      </w:tabs>
      <w:snapToGrid w:val="0"/>
      <w:jc w:val="center"/>
    </w:pPr>
    <w:rPr>
      <w:kern w:val="0"/>
      <w:sz w:val="18"/>
      <w:szCs w:val="18"/>
    </w:rPr>
  </w:style>
  <w:style w:type="paragraph" w:styleId="27">
    <w:name w:val="toc 1"/>
    <w:basedOn w:val="1"/>
    <w:next w:val="1"/>
    <w:autoRedefine/>
    <w:qFormat/>
    <w:uiPriority w:val="39"/>
    <w:pPr>
      <w:tabs>
        <w:tab w:val="right" w:leader="dot" w:pos="9628"/>
      </w:tabs>
      <w:spacing w:line="360" w:lineRule="auto"/>
    </w:pPr>
    <w:rPr>
      <w:rFonts w:hAnsi="宋体"/>
      <w:b/>
      <w:sz w:val="24"/>
    </w:rPr>
  </w:style>
  <w:style w:type="paragraph" w:styleId="28">
    <w:name w:val="toc 4"/>
    <w:basedOn w:val="1"/>
    <w:next w:val="1"/>
    <w:autoRedefine/>
    <w:qFormat/>
    <w:uiPriority w:val="39"/>
    <w:pPr>
      <w:ind w:left="600" w:leftChars="600"/>
    </w:pPr>
  </w:style>
  <w:style w:type="paragraph" w:styleId="29">
    <w:name w:val="Subtitle"/>
    <w:basedOn w:val="1"/>
    <w:next w:val="1"/>
    <w:link w:val="70"/>
    <w:autoRedefine/>
    <w:qFormat/>
    <w:uiPriority w:val="0"/>
    <w:pPr>
      <w:numPr>
        <w:ilvl w:val="0"/>
        <w:numId w:val="1"/>
      </w:numPr>
      <w:tabs>
        <w:tab w:val="left" w:pos="360"/>
      </w:tabs>
      <w:jc w:val="left"/>
      <w:outlineLvl w:val="1"/>
    </w:pPr>
    <w:rPr>
      <w:rFonts w:ascii="Century Gothic" w:hAnsi="Century Gothic"/>
      <w:kern w:val="28"/>
      <w:szCs w:val="21"/>
    </w:rPr>
  </w:style>
  <w:style w:type="paragraph" w:styleId="30">
    <w:name w:val="toc 6"/>
    <w:basedOn w:val="1"/>
    <w:next w:val="1"/>
    <w:autoRedefine/>
    <w:qFormat/>
    <w:uiPriority w:val="39"/>
    <w:pPr>
      <w:ind w:left="1000" w:leftChars="1000"/>
    </w:pPr>
  </w:style>
  <w:style w:type="paragraph" w:styleId="31">
    <w:name w:val="Body Text Indent 3"/>
    <w:basedOn w:val="1"/>
    <w:link w:val="71"/>
    <w:autoRedefine/>
    <w:qFormat/>
    <w:uiPriority w:val="99"/>
    <w:pPr>
      <w:spacing w:line="360" w:lineRule="auto"/>
      <w:ind w:firstLine="192" w:firstLineChars="192"/>
    </w:pPr>
    <w:rPr>
      <w:rFonts w:ascii="仿宋_GB2312" w:eastAsia="仿宋_GB2312"/>
      <w:color w:val="3366FF"/>
      <w:kern w:val="0"/>
      <w:sz w:val="24"/>
    </w:rPr>
  </w:style>
  <w:style w:type="paragraph" w:styleId="32">
    <w:name w:val="toc 2"/>
    <w:basedOn w:val="1"/>
    <w:next w:val="1"/>
    <w:autoRedefine/>
    <w:qFormat/>
    <w:uiPriority w:val="39"/>
    <w:pPr>
      <w:tabs>
        <w:tab w:val="right" w:leader="dot" w:pos="9639"/>
      </w:tabs>
      <w:spacing w:line="360" w:lineRule="auto"/>
      <w:ind w:firstLine="1134" w:firstLineChars="1134"/>
    </w:pPr>
  </w:style>
  <w:style w:type="paragraph" w:styleId="33">
    <w:name w:val="toc 9"/>
    <w:basedOn w:val="1"/>
    <w:next w:val="1"/>
    <w:autoRedefine/>
    <w:qFormat/>
    <w:uiPriority w:val="39"/>
    <w:pPr>
      <w:ind w:left="1600" w:leftChars="1600"/>
    </w:pPr>
  </w:style>
  <w:style w:type="paragraph" w:styleId="34">
    <w:name w:val="Body Text 2"/>
    <w:basedOn w:val="1"/>
    <w:link w:val="72"/>
    <w:autoRedefine/>
    <w:qFormat/>
    <w:uiPriority w:val="99"/>
    <w:rPr>
      <w:rFonts w:ascii="宋体"/>
      <w:kern w:val="0"/>
      <w:sz w:val="20"/>
      <w:szCs w:val="20"/>
    </w:rPr>
  </w:style>
  <w:style w:type="paragraph" w:styleId="35">
    <w:name w:val="HTML Preformatted"/>
    <w:basedOn w:val="1"/>
    <w:autoRedefine/>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6">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next w:val="1"/>
    <w:link w:val="73"/>
    <w:autoRedefine/>
    <w:qFormat/>
    <w:uiPriority w:val="0"/>
    <w:pPr>
      <w:spacing w:before="240" w:after="60" w:line="360" w:lineRule="auto"/>
      <w:ind w:firstLine="200" w:firstLineChars="200"/>
      <w:jc w:val="left"/>
      <w:outlineLvl w:val="0"/>
    </w:pPr>
    <w:rPr>
      <w:rFonts w:ascii="Cambria" w:hAnsi="Cambria" w:eastAsia="仿宋"/>
      <w:b/>
      <w:bCs/>
      <w:sz w:val="24"/>
      <w:szCs w:val="32"/>
    </w:rPr>
  </w:style>
  <w:style w:type="paragraph" w:styleId="38">
    <w:name w:val="annotation subject"/>
    <w:basedOn w:val="15"/>
    <w:next w:val="1"/>
    <w:link w:val="63"/>
    <w:autoRedefine/>
    <w:semiHidden/>
    <w:qFormat/>
    <w:uiPriority w:val="99"/>
    <w:rPr>
      <w:rFonts w:eastAsia="宋体"/>
      <w:b/>
      <w:bCs/>
      <w:color w:val="auto"/>
      <w:sz w:val="24"/>
    </w:rPr>
  </w:style>
  <w:style w:type="paragraph" w:styleId="39">
    <w:name w:val="Body Text First Indent"/>
    <w:basedOn w:val="2"/>
    <w:link w:val="74"/>
    <w:autoRedefine/>
    <w:qFormat/>
    <w:uiPriority w:val="99"/>
    <w:pPr>
      <w:tabs>
        <w:tab w:val="center" w:pos="2185"/>
      </w:tabs>
      <w:spacing w:beforeLines="50" w:after="0" w:line="300" w:lineRule="auto"/>
      <w:ind w:firstLine="200" w:firstLineChars="200"/>
    </w:pPr>
    <w:rPr>
      <w:rFonts w:ascii="楷体_GB2312" w:eastAsia="楷体_GB2312"/>
      <w:spacing w:val="4"/>
      <w:sz w:val="20"/>
      <w:szCs w:val="20"/>
    </w:rPr>
  </w:style>
  <w:style w:type="table" w:styleId="41">
    <w:name w:val="Table Grid"/>
    <w:basedOn w:val="4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autoRedefine/>
    <w:qFormat/>
    <w:uiPriority w:val="0"/>
    <w:rPr>
      <w:b/>
      <w:bCs/>
    </w:rPr>
  </w:style>
  <w:style w:type="character" w:styleId="44">
    <w:name w:val="page number"/>
    <w:autoRedefine/>
    <w:qFormat/>
    <w:uiPriority w:val="0"/>
    <w:rPr>
      <w:rFonts w:cs="Times New Roman"/>
    </w:rPr>
  </w:style>
  <w:style w:type="character" w:styleId="45">
    <w:name w:val="FollowedHyperlink"/>
    <w:autoRedefine/>
    <w:qFormat/>
    <w:uiPriority w:val="99"/>
    <w:rPr>
      <w:color w:val="800080"/>
      <w:u w:val="single"/>
    </w:rPr>
  </w:style>
  <w:style w:type="character" w:styleId="46">
    <w:name w:val="Emphasis"/>
    <w:autoRedefine/>
    <w:qFormat/>
    <w:uiPriority w:val="20"/>
    <w:rPr>
      <w:i/>
      <w:iCs/>
    </w:rPr>
  </w:style>
  <w:style w:type="character" w:styleId="47">
    <w:name w:val="Hyperlink"/>
    <w:autoRedefine/>
    <w:qFormat/>
    <w:uiPriority w:val="99"/>
    <w:rPr>
      <w:color w:val="0000FF"/>
      <w:u w:val="single"/>
    </w:rPr>
  </w:style>
  <w:style w:type="character" w:styleId="48">
    <w:name w:val="annotation reference"/>
    <w:autoRedefine/>
    <w:semiHidden/>
    <w:qFormat/>
    <w:uiPriority w:val="99"/>
    <w:rPr>
      <w:rFonts w:cs="Times New Roman"/>
      <w:sz w:val="21"/>
      <w:szCs w:val="21"/>
    </w:rPr>
  </w:style>
  <w:style w:type="character" w:customStyle="1" w:styleId="49">
    <w:name w:val="正文文本 Char"/>
    <w:link w:val="2"/>
    <w:autoRedefine/>
    <w:qFormat/>
    <w:locked/>
    <w:uiPriority w:val="99"/>
    <w:rPr>
      <w:rFonts w:ascii="Times New Roman" w:hAnsi="Times New Roman" w:eastAsia="宋体" w:cs="Times New Roman"/>
      <w:sz w:val="24"/>
      <w:szCs w:val="24"/>
    </w:rPr>
  </w:style>
  <w:style w:type="character" w:customStyle="1" w:styleId="50">
    <w:name w:val="标题 1 Char"/>
    <w:link w:val="3"/>
    <w:autoRedefine/>
    <w:qFormat/>
    <w:locked/>
    <w:uiPriority w:val="9"/>
    <w:rPr>
      <w:rFonts w:ascii="仿宋_GB2312" w:hAnsi="仿宋_GB2312" w:eastAsia="宋体"/>
      <w:b/>
      <w:bCs/>
      <w:color w:val="000000"/>
      <w:sz w:val="28"/>
    </w:rPr>
  </w:style>
  <w:style w:type="character" w:customStyle="1" w:styleId="51">
    <w:name w:val="标题 2 Char"/>
    <w:link w:val="4"/>
    <w:autoRedefine/>
    <w:qFormat/>
    <w:locked/>
    <w:uiPriority w:val="0"/>
    <w:rPr>
      <w:rFonts w:ascii="Arial" w:hAnsi="Arial" w:eastAsia="宋体" w:cs="Times New Roman"/>
      <w:b/>
      <w:bCs/>
      <w:sz w:val="24"/>
      <w:szCs w:val="24"/>
    </w:rPr>
  </w:style>
  <w:style w:type="character" w:customStyle="1" w:styleId="52">
    <w:name w:val="标题 3 Char"/>
    <w:link w:val="5"/>
    <w:autoRedefine/>
    <w:qFormat/>
    <w:locked/>
    <w:uiPriority w:val="9"/>
    <w:rPr>
      <w:rFonts w:ascii="宋体" w:hAnsi="Times New Roman" w:eastAsia="宋体" w:cs="Times New Roman"/>
      <w:b/>
      <w:bCs/>
      <w:sz w:val="32"/>
      <w:szCs w:val="32"/>
    </w:rPr>
  </w:style>
  <w:style w:type="character" w:customStyle="1" w:styleId="53">
    <w:name w:val="标题 4 Char"/>
    <w:link w:val="6"/>
    <w:autoRedefine/>
    <w:qFormat/>
    <w:uiPriority w:val="0"/>
    <w:rPr>
      <w:rFonts w:ascii="Arial" w:hAnsi="Arial" w:eastAsia="黑体"/>
      <w:b/>
      <w:bCs/>
      <w:kern w:val="2"/>
      <w:sz w:val="28"/>
      <w:szCs w:val="28"/>
    </w:rPr>
  </w:style>
  <w:style w:type="character" w:customStyle="1" w:styleId="54">
    <w:name w:val="标题 5 Char"/>
    <w:link w:val="7"/>
    <w:autoRedefine/>
    <w:qFormat/>
    <w:locked/>
    <w:uiPriority w:val="9"/>
    <w:rPr>
      <w:rFonts w:ascii="Times New Roman" w:hAnsi="Times New Roman"/>
      <w:b/>
      <w:sz w:val="24"/>
      <w:szCs w:val="24"/>
    </w:rPr>
  </w:style>
  <w:style w:type="character" w:customStyle="1" w:styleId="55">
    <w:name w:val="标题 6 Char"/>
    <w:link w:val="8"/>
    <w:autoRedefine/>
    <w:semiHidden/>
    <w:qFormat/>
    <w:uiPriority w:val="9"/>
    <w:rPr>
      <w:rFonts w:ascii="等线 Light" w:hAnsi="等线 Light" w:eastAsia="等线 Light" w:cs="Times New Roman"/>
      <w:b/>
      <w:bCs/>
      <w:kern w:val="2"/>
      <w:sz w:val="24"/>
      <w:szCs w:val="24"/>
    </w:rPr>
  </w:style>
  <w:style w:type="character" w:customStyle="1" w:styleId="56">
    <w:name w:val="标题 7 Char"/>
    <w:link w:val="9"/>
    <w:autoRedefine/>
    <w:qFormat/>
    <w:uiPriority w:val="0"/>
    <w:rPr>
      <w:rFonts w:ascii="宋体"/>
      <w:kern w:val="2"/>
      <w:sz w:val="24"/>
    </w:rPr>
  </w:style>
  <w:style w:type="character" w:customStyle="1" w:styleId="57">
    <w:name w:val="标题 8 Char"/>
    <w:link w:val="10"/>
    <w:autoRedefine/>
    <w:qFormat/>
    <w:uiPriority w:val="0"/>
    <w:rPr>
      <w:rFonts w:ascii="宋体"/>
      <w:kern w:val="2"/>
      <w:sz w:val="24"/>
    </w:rPr>
  </w:style>
  <w:style w:type="character" w:customStyle="1" w:styleId="58">
    <w:name w:val="正文缩进 Char"/>
    <w:link w:val="12"/>
    <w:autoRedefine/>
    <w:qFormat/>
    <w:locked/>
    <w:uiPriority w:val="0"/>
    <w:rPr>
      <w:rFonts w:ascii="宋体" w:hAnsi="Times New Roman"/>
      <w:kern w:val="2"/>
      <w:sz w:val="21"/>
    </w:rPr>
  </w:style>
  <w:style w:type="character" w:customStyle="1" w:styleId="59">
    <w:name w:val="题注 Char"/>
    <w:link w:val="13"/>
    <w:autoRedefine/>
    <w:qFormat/>
    <w:uiPriority w:val="0"/>
    <w:rPr>
      <w:rFonts w:ascii="Cambria" w:hAnsi="Cambria" w:eastAsia="黑体"/>
    </w:rPr>
  </w:style>
  <w:style w:type="character" w:customStyle="1" w:styleId="60">
    <w:name w:val="文档结构图 Char"/>
    <w:link w:val="14"/>
    <w:autoRedefine/>
    <w:qFormat/>
    <w:locked/>
    <w:uiPriority w:val="99"/>
    <w:rPr>
      <w:rFonts w:ascii="Times New Roman" w:hAnsi="Times New Roman" w:eastAsia="宋体" w:cs="Times New Roman"/>
      <w:sz w:val="24"/>
      <w:szCs w:val="24"/>
      <w:shd w:val="clear" w:color="auto" w:fill="000080"/>
    </w:rPr>
  </w:style>
  <w:style w:type="character" w:customStyle="1" w:styleId="61">
    <w:name w:val="批注文字 Char"/>
    <w:link w:val="15"/>
    <w:autoRedefine/>
    <w:qFormat/>
    <w:locked/>
    <w:uiPriority w:val="99"/>
    <w:rPr>
      <w:rFonts w:ascii="Times New Roman" w:hAnsi="Times New Roman" w:eastAsia="黑体" w:cs="Times New Roman"/>
      <w:color w:val="C00000"/>
      <w:sz w:val="28"/>
      <w:szCs w:val="24"/>
    </w:rPr>
  </w:style>
  <w:style w:type="character" w:customStyle="1" w:styleId="62">
    <w:name w:val="正文文本缩进 Char"/>
    <w:link w:val="16"/>
    <w:autoRedefine/>
    <w:qFormat/>
    <w:locked/>
    <w:uiPriority w:val="99"/>
    <w:rPr>
      <w:rFonts w:ascii="仿宋_GB2312" w:hAnsi="Times New Roman" w:eastAsia="仿宋_GB2312" w:cs="Times New Roman"/>
      <w:sz w:val="24"/>
      <w:szCs w:val="24"/>
    </w:rPr>
  </w:style>
  <w:style w:type="character" w:customStyle="1" w:styleId="63">
    <w:name w:val="批注主题 Char"/>
    <w:link w:val="38"/>
    <w:autoRedefine/>
    <w:semiHidden/>
    <w:qFormat/>
    <w:locked/>
    <w:uiPriority w:val="99"/>
    <w:rPr>
      <w:rFonts w:ascii="Times New Roman" w:hAnsi="Times New Roman" w:eastAsia="宋体" w:cs="Times New Roman"/>
      <w:b/>
      <w:bCs/>
      <w:sz w:val="24"/>
      <w:szCs w:val="24"/>
    </w:rPr>
  </w:style>
  <w:style w:type="character" w:customStyle="1" w:styleId="64">
    <w:name w:val="纯文本 Char1"/>
    <w:link w:val="20"/>
    <w:autoRedefine/>
    <w:qFormat/>
    <w:uiPriority w:val="0"/>
    <w:rPr>
      <w:rFonts w:ascii="宋体" w:hAnsi="Courier New" w:cs="Courier New"/>
      <w:kern w:val="2"/>
      <w:sz w:val="21"/>
      <w:szCs w:val="21"/>
    </w:rPr>
  </w:style>
  <w:style w:type="character" w:customStyle="1" w:styleId="65">
    <w:name w:val="日期 Char"/>
    <w:link w:val="22"/>
    <w:autoRedefine/>
    <w:qFormat/>
    <w:locked/>
    <w:uiPriority w:val="99"/>
    <w:rPr>
      <w:rFonts w:ascii="仿宋_GB2312" w:hAnsi="Times New Roman" w:eastAsia="仿宋_GB2312" w:cs="Times New Roman"/>
      <w:sz w:val="24"/>
      <w:szCs w:val="24"/>
    </w:rPr>
  </w:style>
  <w:style w:type="character" w:customStyle="1" w:styleId="66">
    <w:name w:val="正文文本缩进 2 Char"/>
    <w:link w:val="23"/>
    <w:autoRedefine/>
    <w:qFormat/>
    <w:locked/>
    <w:uiPriority w:val="99"/>
    <w:rPr>
      <w:rFonts w:ascii="仿宋_GB2312" w:hAnsi="Times New Roman" w:eastAsia="仿宋_GB2312" w:cs="Times New Roman"/>
      <w:sz w:val="24"/>
      <w:szCs w:val="24"/>
    </w:rPr>
  </w:style>
  <w:style w:type="character" w:customStyle="1" w:styleId="67">
    <w:name w:val="批注框文本 Char"/>
    <w:link w:val="24"/>
    <w:autoRedefine/>
    <w:qFormat/>
    <w:locked/>
    <w:uiPriority w:val="0"/>
    <w:rPr>
      <w:rFonts w:ascii="Times New Roman" w:hAnsi="Times New Roman" w:eastAsia="宋体" w:cs="Times New Roman"/>
      <w:sz w:val="18"/>
      <w:szCs w:val="18"/>
    </w:rPr>
  </w:style>
  <w:style w:type="character" w:customStyle="1" w:styleId="68">
    <w:name w:val="页脚 Char"/>
    <w:link w:val="25"/>
    <w:autoRedefine/>
    <w:qFormat/>
    <w:locked/>
    <w:uiPriority w:val="99"/>
    <w:rPr>
      <w:rFonts w:cs="Times New Roman"/>
      <w:sz w:val="18"/>
      <w:szCs w:val="18"/>
    </w:rPr>
  </w:style>
  <w:style w:type="character" w:customStyle="1" w:styleId="69">
    <w:name w:val="页眉 Char"/>
    <w:link w:val="26"/>
    <w:autoRedefine/>
    <w:qFormat/>
    <w:locked/>
    <w:uiPriority w:val="0"/>
    <w:rPr>
      <w:rFonts w:cs="Times New Roman"/>
      <w:sz w:val="18"/>
      <w:szCs w:val="18"/>
    </w:rPr>
  </w:style>
  <w:style w:type="character" w:customStyle="1" w:styleId="70">
    <w:name w:val="副标题 Char"/>
    <w:link w:val="29"/>
    <w:autoRedefine/>
    <w:qFormat/>
    <w:uiPriority w:val="0"/>
    <w:rPr>
      <w:rFonts w:ascii="Century Gothic" w:hAnsi="Century Gothic" w:cs="Century Gothic"/>
      <w:kern w:val="28"/>
      <w:sz w:val="21"/>
      <w:szCs w:val="21"/>
    </w:rPr>
  </w:style>
  <w:style w:type="character" w:customStyle="1" w:styleId="71">
    <w:name w:val="正文文本缩进 3 Char"/>
    <w:link w:val="31"/>
    <w:autoRedefine/>
    <w:qFormat/>
    <w:locked/>
    <w:uiPriority w:val="99"/>
    <w:rPr>
      <w:rFonts w:ascii="仿宋_GB2312" w:hAnsi="Times New Roman" w:eastAsia="仿宋_GB2312" w:cs="Times New Roman"/>
      <w:color w:val="3366FF"/>
      <w:sz w:val="24"/>
      <w:szCs w:val="24"/>
    </w:rPr>
  </w:style>
  <w:style w:type="character" w:customStyle="1" w:styleId="72">
    <w:name w:val="正文文本 2 Char"/>
    <w:link w:val="34"/>
    <w:autoRedefine/>
    <w:qFormat/>
    <w:locked/>
    <w:uiPriority w:val="99"/>
    <w:rPr>
      <w:rFonts w:ascii="宋体" w:hAnsi="Times New Roman" w:eastAsia="宋体" w:cs="Times New Roman"/>
      <w:sz w:val="20"/>
      <w:szCs w:val="20"/>
    </w:rPr>
  </w:style>
  <w:style w:type="character" w:customStyle="1" w:styleId="73">
    <w:name w:val="标题 Char"/>
    <w:link w:val="37"/>
    <w:autoRedefine/>
    <w:qFormat/>
    <w:uiPriority w:val="0"/>
    <w:rPr>
      <w:rFonts w:ascii="Cambria" w:hAnsi="Cambria" w:eastAsia="仿宋"/>
      <w:b/>
      <w:bCs/>
      <w:kern w:val="2"/>
      <w:sz w:val="24"/>
      <w:szCs w:val="32"/>
    </w:rPr>
  </w:style>
  <w:style w:type="character" w:customStyle="1" w:styleId="74">
    <w:name w:val="正文首行缩进 Char"/>
    <w:link w:val="39"/>
    <w:autoRedefine/>
    <w:qFormat/>
    <w:locked/>
    <w:uiPriority w:val="99"/>
    <w:rPr>
      <w:rFonts w:ascii="楷体_GB2312" w:hAnsi="Times New Roman" w:eastAsia="楷体_GB2312" w:cs="Times New Roman"/>
      <w:spacing w:val="4"/>
      <w:sz w:val="20"/>
      <w:szCs w:val="20"/>
    </w:rPr>
  </w:style>
  <w:style w:type="character" w:customStyle="1" w:styleId="75">
    <w:name w:val="NormalCharacter"/>
    <w:autoRedefine/>
    <w:semiHidden/>
    <w:qFormat/>
    <w:uiPriority w:val="0"/>
  </w:style>
  <w:style w:type="paragraph" w:styleId="76">
    <w:name w:val="List Paragraph"/>
    <w:basedOn w:val="1"/>
    <w:link w:val="77"/>
    <w:autoRedefine/>
    <w:qFormat/>
    <w:uiPriority w:val="34"/>
    <w:pPr>
      <w:ind w:firstLine="420" w:firstLineChars="200"/>
    </w:pPr>
    <w:rPr>
      <w:rFonts w:ascii="Calibri" w:hAnsi="Calibri"/>
      <w:szCs w:val="22"/>
    </w:rPr>
  </w:style>
  <w:style w:type="character" w:customStyle="1" w:styleId="77">
    <w:name w:val="列出段落 Char"/>
    <w:link w:val="76"/>
    <w:autoRedefine/>
    <w:qFormat/>
    <w:locked/>
    <w:uiPriority w:val="34"/>
    <w:rPr>
      <w:rFonts w:ascii="Calibri" w:hAnsi="Calibri"/>
      <w:kern w:val="2"/>
      <w:sz w:val="21"/>
      <w:szCs w:val="22"/>
    </w:rPr>
  </w:style>
  <w:style w:type="paragraph" w:customStyle="1" w:styleId="78">
    <w:name w:val="正文内容"/>
    <w:basedOn w:val="1"/>
    <w:autoRedefine/>
    <w:qFormat/>
    <w:uiPriority w:val="0"/>
    <w:pPr>
      <w:ind w:firstLine="200" w:firstLineChars="200"/>
    </w:pPr>
    <w:rPr>
      <w:rFonts w:eastAsia="仿宋_GB2312"/>
      <w:sz w:val="24"/>
    </w:rPr>
  </w:style>
  <w:style w:type="character" w:customStyle="1" w:styleId="79">
    <w:name w:val="_Style 78"/>
    <w:autoRedefine/>
    <w:qFormat/>
    <w:uiPriority w:val="0"/>
    <w:rPr>
      <w:rFonts w:eastAsia="仿宋_GB2312"/>
      <w:iCs/>
      <w:color w:val="auto"/>
      <w:sz w:val="24"/>
    </w:rPr>
  </w:style>
  <w:style w:type="character" w:customStyle="1" w:styleId="80">
    <w:name w:val="纯文本 Char"/>
    <w:autoRedefine/>
    <w:qFormat/>
    <w:uiPriority w:val="0"/>
    <w:rPr>
      <w:rFonts w:ascii="宋体" w:hAnsi="Courier New" w:eastAsia="宋体" w:cs="Courier New"/>
      <w:sz w:val="21"/>
      <w:szCs w:val="21"/>
    </w:rPr>
  </w:style>
  <w:style w:type="character" w:customStyle="1" w:styleId="81">
    <w:name w:val="标题2 字符"/>
    <w:link w:val="82"/>
    <w:autoRedefine/>
    <w:qFormat/>
    <w:uiPriority w:val="0"/>
    <w:rPr>
      <w:rFonts w:ascii="宋体" w:hAnsi="宋体" w:eastAsia="黑体"/>
      <w:b/>
      <w:bCs/>
      <w:sz w:val="30"/>
      <w:szCs w:val="30"/>
    </w:rPr>
  </w:style>
  <w:style w:type="paragraph" w:customStyle="1" w:styleId="82">
    <w:name w:val="标题2"/>
    <w:basedOn w:val="4"/>
    <w:link w:val="81"/>
    <w:autoRedefine/>
    <w:qFormat/>
    <w:uiPriority w:val="0"/>
    <w:rPr>
      <w:rFonts w:ascii="宋体" w:hAnsi="宋体" w:eastAsia="黑体"/>
      <w:sz w:val="30"/>
      <w:szCs w:val="30"/>
    </w:rPr>
  </w:style>
  <w:style w:type="character" w:customStyle="1" w:styleId="83">
    <w:name w:val="页脚 字符"/>
    <w:autoRedefine/>
    <w:qFormat/>
    <w:uiPriority w:val="99"/>
  </w:style>
  <w:style w:type="character" w:customStyle="1" w:styleId="84">
    <w:name w:val="纯文本 字符1"/>
    <w:autoRedefine/>
    <w:qFormat/>
    <w:uiPriority w:val="0"/>
    <w:rPr>
      <w:rFonts w:ascii="宋体" w:hAnsi="Times New Roman" w:eastAsia="宋体" w:cs="Times New Roman"/>
      <w:szCs w:val="20"/>
    </w:rPr>
  </w:style>
  <w:style w:type="character" w:customStyle="1" w:styleId="85">
    <w:name w:val="old"/>
    <w:autoRedefine/>
    <w:qFormat/>
    <w:uiPriority w:val="0"/>
    <w:rPr>
      <w:color w:val="999999"/>
    </w:rPr>
  </w:style>
  <w:style w:type="character" w:customStyle="1" w:styleId="86">
    <w:name w:val="grame"/>
    <w:autoRedefine/>
    <w:qFormat/>
    <w:uiPriority w:val="0"/>
    <w:rPr>
      <w:rFonts w:cs="Times New Roman"/>
    </w:rPr>
  </w:style>
  <w:style w:type="character" w:customStyle="1" w:styleId="87">
    <w:name w:val="普通文字 Char Char1"/>
    <w:autoRedefine/>
    <w:qFormat/>
    <w:uiPriority w:val="0"/>
    <w:rPr>
      <w:rFonts w:ascii="宋体" w:eastAsia="宋体" w:cs="Times New Roman"/>
      <w:kern w:val="2"/>
      <w:sz w:val="21"/>
      <w:lang w:val="en-US" w:eastAsia="zh-CN" w:bidi="ar-SA"/>
    </w:rPr>
  </w:style>
  <w:style w:type="character" w:customStyle="1" w:styleId="88">
    <w:name w:val="para1"/>
    <w:autoRedefine/>
    <w:qFormat/>
    <w:uiPriority w:val="0"/>
    <w:rPr>
      <w:rFonts w:ascii="Arial" w:hAnsi="Arial"/>
      <w:sz w:val="18"/>
    </w:rPr>
  </w:style>
  <w:style w:type="character" w:customStyle="1" w:styleId="89">
    <w:name w:val="未处理的提及"/>
    <w:autoRedefine/>
    <w:unhideWhenUsed/>
    <w:qFormat/>
    <w:uiPriority w:val="99"/>
    <w:rPr>
      <w:color w:val="808080"/>
      <w:shd w:val="clear" w:color="auto" w:fill="E6E6E6"/>
    </w:rPr>
  </w:style>
  <w:style w:type="character" w:customStyle="1" w:styleId="90">
    <w:name w:val="fontstyle01"/>
    <w:autoRedefine/>
    <w:qFormat/>
    <w:uiPriority w:val="0"/>
    <w:rPr>
      <w:rFonts w:hint="eastAsia" w:ascii="宋体" w:hAnsi="宋体" w:eastAsia="宋体"/>
      <w:color w:val="000000"/>
      <w:sz w:val="24"/>
      <w:szCs w:val="24"/>
    </w:rPr>
  </w:style>
  <w:style w:type="character" w:customStyle="1" w:styleId="91">
    <w:name w:val="副标题 字符1"/>
    <w:autoRedefine/>
    <w:qFormat/>
    <w:uiPriority w:val="11"/>
    <w:rPr>
      <w:rFonts w:ascii="等线 Light" w:hAnsi="等线 Light" w:cs="Times New Roman"/>
      <w:b/>
      <w:bCs/>
      <w:kern w:val="28"/>
      <w:sz w:val="32"/>
      <w:szCs w:val="32"/>
    </w:rPr>
  </w:style>
  <w:style w:type="character" w:customStyle="1" w:styleId="92">
    <w:name w:val="纯文本 字符2"/>
    <w:autoRedefine/>
    <w:qFormat/>
    <w:uiPriority w:val="0"/>
    <w:rPr>
      <w:rFonts w:ascii="宋体"/>
      <w:kern w:val="2"/>
      <w:sz w:val="21"/>
    </w:rPr>
  </w:style>
  <w:style w:type="character" w:customStyle="1" w:styleId="93">
    <w:name w:val="副标题 Char1"/>
    <w:autoRedefine/>
    <w:qFormat/>
    <w:uiPriority w:val="0"/>
    <w:rPr>
      <w:rFonts w:ascii="Cambria" w:hAnsi="Cambria" w:cs="Times New Roman"/>
      <w:b/>
      <w:bCs/>
      <w:kern w:val="28"/>
      <w:sz w:val="32"/>
      <w:szCs w:val="32"/>
    </w:rPr>
  </w:style>
  <w:style w:type="paragraph" w:customStyle="1" w:styleId="94">
    <w:name w:val="xl5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kern w:val="0"/>
      <w:sz w:val="20"/>
      <w:szCs w:val="20"/>
    </w:rPr>
  </w:style>
  <w:style w:type="paragraph" w:customStyle="1" w:styleId="95">
    <w:name w:val="正文（绿盟科技）"/>
    <w:autoRedefine/>
    <w:qFormat/>
    <w:uiPriority w:val="0"/>
    <w:pPr>
      <w:spacing w:line="300" w:lineRule="auto"/>
    </w:pPr>
    <w:rPr>
      <w:rFonts w:ascii="Arial" w:hAnsi="Arial" w:eastAsia="宋体" w:cs="黑体"/>
      <w:sz w:val="21"/>
      <w:szCs w:val="21"/>
      <w:lang w:val="en-US" w:eastAsia="zh-CN" w:bidi="ar-SA"/>
    </w:rPr>
  </w:style>
  <w:style w:type="paragraph" w:customStyle="1" w:styleId="96">
    <w:name w:val="xl61"/>
    <w:basedOn w:val="1"/>
    <w:autoRedefine/>
    <w:qFormat/>
    <w:uiPriority w:val="0"/>
    <w:pPr>
      <w:widowControl/>
      <w:pBdr>
        <w:top w:val="double" w:color="auto" w:sz="6" w:space="0"/>
        <w:left w:val="single" w:color="auto" w:sz="4" w:space="0"/>
        <w:bottom w:val="single" w:color="auto" w:sz="4" w:space="0"/>
        <w:right w:val="single" w:color="auto" w:sz="4" w:space="0"/>
      </w:pBdr>
      <w:shd w:val="clear" w:color="auto" w:fill="FFFFFF"/>
      <w:spacing w:before="100" w:beforeAutospacing="1" w:after="100" w:afterAutospacing="1"/>
      <w:textAlignment w:val="center"/>
    </w:pPr>
    <w:rPr>
      <w:rFonts w:ascii="宋体"/>
      <w:kern w:val="0"/>
      <w:sz w:val="20"/>
      <w:szCs w:val="20"/>
    </w:rPr>
  </w:style>
  <w:style w:type="paragraph" w:customStyle="1" w:styleId="97">
    <w:name w:val="Char Char Char Char Char Char Char Char Char Char"/>
    <w:basedOn w:val="1"/>
    <w:autoRedefine/>
    <w:qFormat/>
    <w:uiPriority w:val="0"/>
    <w:rPr>
      <w:rFonts w:ascii="Tahoma" w:hAnsi="Tahoma"/>
      <w:sz w:val="24"/>
      <w:szCs w:val="20"/>
    </w:rPr>
  </w:style>
  <w:style w:type="paragraph" w:customStyle="1" w:styleId="98">
    <w:name w:val="标题 5（有编号）（绿盟科技）"/>
    <w:basedOn w:val="1"/>
    <w:next w:val="95"/>
    <w:autoRedefine/>
    <w:qFormat/>
    <w:uiPriority w:val="0"/>
    <w:pPr>
      <w:keepNext/>
      <w:keepLines/>
      <w:numPr>
        <w:ilvl w:val="4"/>
        <w:numId w:val="2"/>
      </w:numPr>
      <w:tabs>
        <w:tab w:val="left" w:pos="0"/>
      </w:tabs>
      <w:spacing w:before="280" w:after="156" w:line="377" w:lineRule="auto"/>
      <w:outlineLvl w:val="4"/>
    </w:pPr>
    <w:rPr>
      <w:rFonts w:ascii="Arial" w:hAnsi="Arial" w:eastAsia="黑体"/>
      <w:b/>
      <w:kern w:val="0"/>
      <w:szCs w:val="28"/>
    </w:rPr>
  </w:style>
  <w:style w:type="paragraph" w:customStyle="1" w:styleId="99">
    <w:name w:val="xl28"/>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left"/>
    </w:pPr>
    <w:rPr>
      <w:rFonts w:ascii="宋体"/>
      <w:kern w:val="0"/>
      <w:sz w:val="24"/>
    </w:rPr>
  </w:style>
  <w:style w:type="paragraph" w:customStyle="1" w:styleId="100">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01">
    <w:name w:val="xl6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kern w:val="0"/>
      <w:sz w:val="20"/>
      <w:szCs w:val="20"/>
    </w:rPr>
  </w:style>
  <w:style w:type="paragraph" w:customStyle="1" w:styleId="102">
    <w:name w:val="xl57"/>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03">
    <w:name w:val="xl43"/>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jc w:val="center"/>
    </w:pPr>
    <w:rPr>
      <w:rFonts w:ascii="仿宋_GB2312" w:eastAsia="仿宋_GB2312"/>
      <w:b/>
      <w:bCs/>
      <w:kern w:val="0"/>
      <w:sz w:val="24"/>
    </w:rPr>
  </w:style>
  <w:style w:type="paragraph" w:customStyle="1" w:styleId="104">
    <w:name w:val="xl36"/>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05">
    <w:name w:val="xl35"/>
    <w:basedOn w:val="1"/>
    <w:autoRedefine/>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06">
    <w:name w:val="xl29"/>
    <w:basedOn w:val="1"/>
    <w:autoRedefine/>
    <w:qFormat/>
    <w:uiPriority w:val="0"/>
    <w:pPr>
      <w:widowControl/>
      <w:pBdr>
        <w:bottom w:val="single" w:color="auto" w:sz="8" w:space="0"/>
      </w:pBdr>
      <w:spacing w:before="100" w:beforeAutospacing="1" w:after="100" w:afterAutospacing="1"/>
      <w:textAlignment w:val="top"/>
    </w:pPr>
    <w:rPr>
      <w:rFonts w:ascii="仿宋_GB2312" w:eastAsia="仿宋_GB2312"/>
      <w:kern w:val="0"/>
      <w:sz w:val="24"/>
    </w:rPr>
  </w:style>
  <w:style w:type="paragraph" w:customStyle="1" w:styleId="107">
    <w:name w:val="font6"/>
    <w:basedOn w:val="1"/>
    <w:autoRedefine/>
    <w:qFormat/>
    <w:uiPriority w:val="0"/>
    <w:pPr>
      <w:widowControl/>
      <w:spacing w:before="100" w:beforeAutospacing="1" w:after="100" w:afterAutospacing="1"/>
      <w:jc w:val="left"/>
    </w:pPr>
    <w:rPr>
      <w:rFonts w:ascii="宋体"/>
      <w:color w:val="0000FF"/>
      <w:kern w:val="0"/>
      <w:sz w:val="24"/>
      <w:u w:val="single"/>
    </w:rPr>
  </w:style>
  <w:style w:type="paragraph" w:customStyle="1" w:styleId="108">
    <w:name w:val="xl30"/>
    <w:basedOn w:val="1"/>
    <w:autoRedefine/>
    <w:qFormat/>
    <w:uiPriority w:val="0"/>
    <w:pPr>
      <w:widowControl/>
      <w:pBdr>
        <w:bottom w:val="single" w:color="auto" w:sz="8" w:space="0"/>
      </w:pBdr>
      <w:spacing w:before="100" w:beforeAutospacing="1" w:after="100" w:afterAutospacing="1"/>
      <w:jc w:val="left"/>
    </w:pPr>
    <w:rPr>
      <w:rFonts w:ascii="仿宋_GB2312" w:eastAsia="仿宋_GB2312"/>
      <w:kern w:val="0"/>
      <w:sz w:val="24"/>
    </w:rPr>
  </w:style>
  <w:style w:type="paragraph" w:customStyle="1" w:styleId="109">
    <w:name w:val="font9"/>
    <w:basedOn w:val="1"/>
    <w:autoRedefine/>
    <w:qFormat/>
    <w:uiPriority w:val="0"/>
    <w:pPr>
      <w:widowControl/>
      <w:spacing w:before="100" w:beforeAutospacing="1" w:after="100" w:afterAutospacing="1"/>
      <w:jc w:val="left"/>
    </w:pPr>
    <w:rPr>
      <w:rFonts w:ascii="宋体"/>
      <w:b/>
      <w:bCs/>
      <w:color w:val="000000"/>
      <w:kern w:val="0"/>
      <w:sz w:val="18"/>
      <w:szCs w:val="18"/>
    </w:rPr>
  </w:style>
  <w:style w:type="paragraph" w:customStyle="1" w:styleId="110">
    <w:name w:val="xl44"/>
    <w:basedOn w:val="1"/>
    <w:autoRedefine/>
    <w:qFormat/>
    <w:uiPriority w:val="0"/>
    <w:pPr>
      <w:widowControl/>
      <w:pBdr>
        <w:top w:val="single" w:color="auto" w:sz="8" w:space="0"/>
        <w:bottom w:val="single" w:color="auto" w:sz="8" w:space="0"/>
      </w:pBdr>
      <w:spacing w:before="100" w:beforeAutospacing="1" w:after="100" w:afterAutospacing="1"/>
      <w:jc w:val="center"/>
    </w:pPr>
    <w:rPr>
      <w:rFonts w:ascii="仿宋_GB2312" w:eastAsia="仿宋_GB2312"/>
      <w:b/>
      <w:bCs/>
      <w:kern w:val="0"/>
      <w:sz w:val="24"/>
    </w:rPr>
  </w:style>
  <w:style w:type="paragraph" w:customStyle="1" w:styleId="111">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customStyle="1" w:styleId="112">
    <w:name w:val="Char13"/>
    <w:basedOn w:val="1"/>
    <w:autoRedefine/>
    <w:qFormat/>
    <w:uiPriority w:val="0"/>
  </w:style>
  <w:style w:type="paragraph" w:customStyle="1" w:styleId="113">
    <w:name w:val="xl5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kern w:val="0"/>
      <w:sz w:val="20"/>
      <w:szCs w:val="20"/>
    </w:rPr>
  </w:style>
  <w:style w:type="paragraph" w:customStyle="1" w:styleId="114">
    <w:name w:val="xl24"/>
    <w:basedOn w:val="1"/>
    <w:autoRedefine/>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15">
    <w:name w:val="xl31"/>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textAlignment w:val="top"/>
    </w:pPr>
    <w:rPr>
      <w:rFonts w:ascii="仿宋_GB2312" w:eastAsia="仿宋_GB2312"/>
      <w:kern w:val="0"/>
      <w:sz w:val="24"/>
    </w:rPr>
  </w:style>
  <w:style w:type="paragraph" w:customStyle="1" w:styleId="116">
    <w:name w:val="xl5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0"/>
      <w:szCs w:val="20"/>
    </w:rPr>
  </w:style>
  <w:style w:type="paragraph" w:customStyle="1" w:styleId="117">
    <w:name w:val="p0"/>
    <w:basedOn w:val="1"/>
    <w:autoRedefine/>
    <w:qFormat/>
    <w:uiPriority w:val="0"/>
    <w:pPr>
      <w:widowControl/>
    </w:pPr>
    <w:rPr>
      <w:kern w:val="0"/>
      <w:szCs w:val="21"/>
    </w:rPr>
  </w:style>
  <w:style w:type="paragraph" w:customStyle="1" w:styleId="118">
    <w:name w:val="xl49"/>
    <w:basedOn w:val="1"/>
    <w:autoRedefine/>
    <w:qFormat/>
    <w:uiPriority w:val="0"/>
    <w:pPr>
      <w:widowControl/>
      <w:pBdr>
        <w:left w:val="single" w:color="auto" w:sz="4" w:space="0"/>
        <w:bottom w:val="double" w:color="auto" w:sz="6" w:space="0"/>
        <w:right w:val="single" w:color="auto" w:sz="4" w:space="0"/>
      </w:pBdr>
      <w:shd w:val="clear" w:color="auto" w:fill="FFFFFF"/>
      <w:spacing w:before="100" w:beforeAutospacing="1" w:after="100" w:afterAutospacing="1"/>
      <w:jc w:val="left"/>
      <w:textAlignment w:val="center"/>
    </w:pPr>
    <w:rPr>
      <w:kern w:val="0"/>
      <w:sz w:val="20"/>
      <w:szCs w:val="20"/>
    </w:rPr>
  </w:style>
  <w:style w:type="paragraph" w:customStyle="1" w:styleId="119">
    <w:name w:val="xl34"/>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20">
    <w:name w:val="Char Char"/>
    <w:basedOn w:val="1"/>
    <w:autoRedefine/>
    <w:qFormat/>
    <w:uiPriority w:val="0"/>
    <w:rPr>
      <w:rFonts w:ascii="Tahoma" w:hAnsi="Tahoma"/>
      <w:sz w:val="24"/>
      <w:szCs w:val="20"/>
    </w:rPr>
  </w:style>
  <w:style w:type="paragraph" w:customStyle="1" w:styleId="121">
    <w:name w:val="Char"/>
    <w:basedOn w:val="1"/>
    <w:autoRedefine/>
    <w:qFormat/>
    <w:uiPriority w:val="0"/>
  </w:style>
  <w:style w:type="paragraph" w:customStyle="1" w:styleId="122">
    <w:name w:val="xl33"/>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23">
    <w:name w:val="font8"/>
    <w:basedOn w:val="1"/>
    <w:autoRedefine/>
    <w:qFormat/>
    <w:uiPriority w:val="0"/>
    <w:pPr>
      <w:widowControl/>
      <w:spacing w:before="100" w:beforeAutospacing="1" w:after="100" w:afterAutospacing="1"/>
      <w:jc w:val="left"/>
    </w:pPr>
    <w:rPr>
      <w:kern w:val="0"/>
      <w:sz w:val="20"/>
      <w:szCs w:val="20"/>
    </w:rPr>
  </w:style>
  <w:style w:type="paragraph" w:customStyle="1" w:styleId="124">
    <w:name w:val="xl27"/>
    <w:basedOn w:val="1"/>
    <w:autoRedefine/>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left"/>
    </w:pPr>
    <w:rPr>
      <w:rFonts w:ascii="宋体"/>
      <w:kern w:val="0"/>
      <w:sz w:val="24"/>
    </w:rPr>
  </w:style>
  <w:style w:type="paragraph" w:customStyle="1" w:styleId="125">
    <w:name w:val="font5"/>
    <w:basedOn w:val="1"/>
    <w:autoRedefine/>
    <w:qFormat/>
    <w:uiPriority w:val="0"/>
    <w:pPr>
      <w:widowControl/>
      <w:spacing w:before="100" w:beforeAutospacing="1" w:after="100" w:afterAutospacing="1"/>
      <w:jc w:val="left"/>
    </w:pPr>
    <w:rPr>
      <w:rFonts w:ascii="宋体"/>
      <w:kern w:val="0"/>
      <w:sz w:val="18"/>
      <w:szCs w:val="18"/>
    </w:rPr>
  </w:style>
  <w:style w:type="paragraph" w:customStyle="1" w:styleId="126">
    <w:name w:val="xl47"/>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宋体"/>
      <w:kern w:val="0"/>
      <w:sz w:val="24"/>
    </w:rPr>
  </w:style>
  <w:style w:type="paragraph" w:customStyle="1" w:styleId="127">
    <w:name w:val="xl25"/>
    <w:basedOn w:val="1"/>
    <w:autoRedefine/>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28">
    <w:name w:val="xl39"/>
    <w:basedOn w:val="1"/>
    <w:autoRedefine/>
    <w:qFormat/>
    <w:uiPriority w:val="0"/>
    <w:pPr>
      <w:widowControl/>
      <w:pBdr>
        <w:top w:val="single" w:color="auto" w:sz="8" w:space="0"/>
        <w:bottom w:val="single" w:color="auto" w:sz="8" w:space="0"/>
      </w:pBdr>
      <w:spacing w:before="100" w:beforeAutospacing="1" w:after="100" w:afterAutospacing="1"/>
      <w:jc w:val="center"/>
      <w:textAlignment w:val="center"/>
    </w:pPr>
    <w:rPr>
      <w:rFonts w:ascii="仿宋_GB2312" w:eastAsia="仿宋_GB2312"/>
      <w:b/>
      <w:bCs/>
      <w:kern w:val="0"/>
      <w:sz w:val="24"/>
    </w:rPr>
  </w:style>
  <w:style w:type="paragraph" w:customStyle="1" w:styleId="129">
    <w:name w:val="xl6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kern w:val="0"/>
      <w:sz w:val="20"/>
      <w:szCs w:val="20"/>
    </w:rPr>
  </w:style>
  <w:style w:type="paragraph" w:customStyle="1" w:styleId="130">
    <w:name w:val="xl59"/>
    <w:basedOn w:val="1"/>
    <w:autoRedefine/>
    <w:qFormat/>
    <w:uiPriority w:val="0"/>
    <w:pPr>
      <w:widowControl/>
      <w:pBdr>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31">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kern w:val="0"/>
      <w:sz w:val="20"/>
      <w:szCs w:val="20"/>
    </w:rPr>
  </w:style>
  <w:style w:type="paragraph" w:customStyle="1" w:styleId="132">
    <w:name w:val="Bullet_Title"/>
    <w:basedOn w:val="1"/>
    <w:autoRedefine/>
    <w:qFormat/>
    <w:uiPriority w:val="0"/>
    <w:pPr>
      <w:numPr>
        <w:ilvl w:val="0"/>
        <w:numId w:val="3"/>
      </w:numPr>
      <w:spacing w:after="78" w:line="300" w:lineRule="auto"/>
    </w:pPr>
    <w:rPr>
      <w:rFonts w:ascii="Arial Narrow" w:hAnsi="Arial Narrow"/>
      <w:sz w:val="24"/>
      <w:szCs w:val="20"/>
    </w:rPr>
  </w:style>
  <w:style w:type="paragraph" w:customStyle="1" w:styleId="133">
    <w:name w:val="xl51"/>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jc w:val="center"/>
      <w:textAlignment w:val="center"/>
    </w:pPr>
    <w:rPr>
      <w:kern w:val="0"/>
      <w:sz w:val="20"/>
      <w:szCs w:val="20"/>
    </w:rPr>
  </w:style>
  <w:style w:type="paragraph" w:customStyle="1" w:styleId="134">
    <w:name w:val="xl64"/>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35">
    <w:name w:val="xl26"/>
    <w:basedOn w:val="1"/>
    <w:autoRedefine/>
    <w:qFormat/>
    <w:uiPriority w:val="0"/>
    <w:pPr>
      <w:widowControl/>
      <w:pBdr>
        <w:bottom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36">
    <w:name w:val="xl6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宋体"/>
      <w:kern w:val="0"/>
      <w:sz w:val="20"/>
      <w:szCs w:val="20"/>
    </w:rPr>
  </w:style>
  <w:style w:type="paragraph" w:customStyle="1" w:styleId="137">
    <w:name w:val="列出段落1"/>
    <w:basedOn w:val="1"/>
    <w:autoRedefine/>
    <w:qFormat/>
    <w:uiPriority w:val="34"/>
    <w:pPr>
      <w:ind w:firstLine="420" w:firstLineChars="200"/>
    </w:pPr>
    <w:rPr>
      <w:rFonts w:ascii="Calibri" w:hAnsi="Calibri" w:cs="黑体"/>
      <w:szCs w:val="22"/>
    </w:rPr>
  </w:style>
  <w:style w:type="paragraph" w:customStyle="1" w:styleId="138">
    <w:name w:val="xl52"/>
    <w:basedOn w:val="1"/>
    <w:autoRedefine/>
    <w:qFormat/>
    <w:uiPriority w:val="0"/>
    <w:pPr>
      <w:widowControl/>
      <w:pBdr>
        <w:top w:val="single" w:color="auto" w:sz="4" w:space="0"/>
        <w:left w:val="single" w:color="auto" w:sz="4" w:space="0"/>
        <w:bottom w:val="double" w:color="auto" w:sz="6" w:space="0"/>
        <w:right w:val="single" w:color="auto" w:sz="4" w:space="0"/>
      </w:pBdr>
      <w:spacing w:before="100" w:beforeAutospacing="1" w:after="100" w:afterAutospacing="1"/>
      <w:textAlignment w:val="center"/>
    </w:pPr>
    <w:rPr>
      <w:kern w:val="0"/>
      <w:sz w:val="20"/>
      <w:szCs w:val="20"/>
    </w:rPr>
  </w:style>
  <w:style w:type="paragraph" w:customStyle="1" w:styleId="139">
    <w:name w:val="xl58"/>
    <w:basedOn w:val="1"/>
    <w:autoRedefine/>
    <w:qFormat/>
    <w:uiPriority w:val="0"/>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40">
    <w:name w:val="xl38"/>
    <w:basedOn w:val="1"/>
    <w:autoRedefine/>
    <w:qFormat/>
    <w:uiPriority w:val="0"/>
    <w:pPr>
      <w:widowControl/>
      <w:pBdr>
        <w:top w:val="single" w:color="auto" w:sz="8" w:space="0"/>
        <w:left w:val="single" w:color="auto" w:sz="8" w:space="0"/>
        <w:bottom w:val="single" w:color="auto" w:sz="8" w:space="0"/>
      </w:pBdr>
      <w:spacing w:before="100" w:beforeAutospacing="1" w:after="100" w:afterAutospacing="1"/>
      <w:jc w:val="center"/>
      <w:textAlignment w:val="center"/>
    </w:pPr>
    <w:rPr>
      <w:rFonts w:ascii="仿宋_GB2312" w:eastAsia="仿宋_GB2312"/>
      <w:b/>
      <w:bCs/>
      <w:kern w:val="0"/>
      <w:sz w:val="24"/>
    </w:rPr>
  </w:style>
  <w:style w:type="paragraph" w:customStyle="1" w:styleId="141">
    <w:name w:val="xl40"/>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仿宋_GB2312" w:eastAsia="仿宋_GB2312"/>
      <w:b/>
      <w:bCs/>
      <w:kern w:val="0"/>
      <w:sz w:val="24"/>
    </w:rPr>
  </w:style>
  <w:style w:type="paragraph" w:customStyle="1" w:styleId="142">
    <w:name w:val="_Style 141"/>
    <w:autoRedefine/>
    <w:semiHidden/>
    <w:qFormat/>
    <w:uiPriority w:val="99"/>
    <w:rPr>
      <w:rFonts w:ascii="Times New Roman" w:hAnsi="Times New Roman" w:eastAsia="宋体" w:cs="Times New Roman"/>
      <w:kern w:val="2"/>
      <w:sz w:val="21"/>
      <w:szCs w:val="24"/>
      <w:lang w:val="en-US" w:eastAsia="zh-CN" w:bidi="ar-SA"/>
    </w:rPr>
  </w:style>
  <w:style w:type="paragraph" w:customStyle="1" w:styleId="143">
    <w:name w:val="xl37"/>
    <w:basedOn w:val="1"/>
    <w:autoRedefine/>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44">
    <w:name w:val="标题1"/>
    <w:basedOn w:val="3"/>
    <w:autoRedefine/>
    <w:qFormat/>
    <w:uiPriority w:val="0"/>
    <w:pPr>
      <w:keepLines/>
      <w:autoSpaceDE/>
      <w:autoSpaceDN/>
      <w:adjustRightInd/>
      <w:spacing w:before="100" w:beforeAutospacing="1" w:after="100" w:afterAutospacing="1" w:line="240" w:lineRule="atLeast"/>
      <w:jc w:val="center"/>
    </w:pPr>
    <w:rPr>
      <w:rFonts w:ascii="Times New Roman"/>
      <w:kern w:val="2"/>
      <w:sz w:val="30"/>
      <w:szCs w:val="30"/>
    </w:rPr>
  </w:style>
  <w:style w:type="paragraph" w:customStyle="1" w:styleId="145">
    <w:name w:val="font7"/>
    <w:basedOn w:val="1"/>
    <w:autoRedefine/>
    <w:qFormat/>
    <w:uiPriority w:val="0"/>
    <w:pPr>
      <w:widowControl/>
      <w:spacing w:before="100" w:beforeAutospacing="1" w:after="100" w:afterAutospacing="1"/>
      <w:jc w:val="left"/>
    </w:pPr>
    <w:rPr>
      <w:rFonts w:ascii="宋体"/>
      <w:kern w:val="0"/>
      <w:sz w:val="18"/>
      <w:szCs w:val="18"/>
    </w:rPr>
  </w:style>
  <w:style w:type="paragraph" w:customStyle="1" w:styleId="146">
    <w:name w:val="xl46"/>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kern w:val="0"/>
      <w:sz w:val="24"/>
    </w:rPr>
  </w:style>
  <w:style w:type="paragraph" w:customStyle="1" w:styleId="147">
    <w:name w:val="xl32"/>
    <w:basedOn w:val="1"/>
    <w:autoRedefine/>
    <w:qFormat/>
    <w:uiPriority w:val="0"/>
    <w:pPr>
      <w:widowControl/>
      <w:pBdr>
        <w:top w:val="single" w:color="auto" w:sz="8" w:space="0"/>
        <w:left w:val="single" w:color="auto" w:sz="8" w:space="0"/>
        <w:right w:val="single" w:color="auto" w:sz="8" w:space="0"/>
      </w:pBdr>
      <w:spacing w:before="100" w:beforeAutospacing="1" w:after="100" w:afterAutospacing="1"/>
      <w:jc w:val="left"/>
    </w:pPr>
    <w:rPr>
      <w:rFonts w:ascii="宋体"/>
      <w:b/>
      <w:bCs/>
      <w:kern w:val="0"/>
      <w:sz w:val="24"/>
    </w:rPr>
  </w:style>
  <w:style w:type="paragraph" w:customStyle="1" w:styleId="148">
    <w:name w:val="xl42"/>
    <w:basedOn w:val="1"/>
    <w:autoRedefine/>
    <w:qFormat/>
    <w:uiPriority w:val="0"/>
    <w:pPr>
      <w:widowControl/>
      <w:pBdr>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49">
    <w:name w:val="xl65"/>
    <w:basedOn w:val="1"/>
    <w:autoRedefine/>
    <w:qFormat/>
    <w:uiPriority w:val="0"/>
    <w:pPr>
      <w:widowControl/>
      <w:pBdr>
        <w:left w:val="single" w:color="auto" w:sz="4" w:space="0"/>
        <w:right w:val="single" w:color="auto" w:sz="4" w:space="0"/>
      </w:pBdr>
      <w:shd w:val="clear" w:color="auto" w:fill="FFFFFF"/>
      <w:spacing w:before="100" w:beforeAutospacing="1" w:after="100" w:afterAutospacing="1"/>
      <w:jc w:val="center"/>
      <w:textAlignment w:val="center"/>
    </w:pPr>
    <w:rPr>
      <w:rFonts w:ascii="宋体"/>
      <w:kern w:val="0"/>
      <w:sz w:val="20"/>
      <w:szCs w:val="20"/>
    </w:rPr>
  </w:style>
  <w:style w:type="paragraph" w:customStyle="1" w:styleId="150">
    <w:name w:val="xl45"/>
    <w:basedOn w:val="1"/>
    <w:autoRedefine/>
    <w:qFormat/>
    <w:uiPriority w:val="0"/>
    <w:pPr>
      <w:widowControl/>
      <w:pBdr>
        <w:top w:val="single" w:color="auto" w:sz="8" w:space="0"/>
        <w:bottom w:val="single" w:color="auto" w:sz="8" w:space="0"/>
        <w:right w:val="single" w:color="auto" w:sz="8" w:space="0"/>
      </w:pBdr>
      <w:spacing w:before="100" w:beforeAutospacing="1" w:after="100" w:afterAutospacing="1"/>
      <w:jc w:val="center"/>
    </w:pPr>
    <w:rPr>
      <w:rFonts w:ascii="仿宋_GB2312" w:eastAsia="仿宋_GB2312"/>
      <w:b/>
      <w:bCs/>
      <w:kern w:val="0"/>
      <w:sz w:val="24"/>
    </w:rPr>
  </w:style>
  <w:style w:type="paragraph" w:customStyle="1" w:styleId="151">
    <w:name w:val="xl41"/>
    <w:basedOn w:val="1"/>
    <w:autoRedefine/>
    <w:qFormat/>
    <w:uiPriority w:val="0"/>
    <w:pPr>
      <w:widowControl/>
      <w:pBdr>
        <w:top w:val="single" w:color="000000" w:sz="8" w:space="0"/>
        <w:left w:val="single" w:color="auto" w:sz="8" w:space="0"/>
        <w:right w:val="single" w:color="auto" w:sz="8" w:space="0"/>
      </w:pBdr>
      <w:spacing w:before="100" w:beforeAutospacing="1" w:after="100" w:afterAutospacing="1"/>
      <w:jc w:val="center"/>
      <w:textAlignment w:val="center"/>
    </w:pPr>
    <w:rPr>
      <w:rFonts w:ascii="仿宋_GB2312" w:eastAsia="仿宋_GB2312"/>
      <w:kern w:val="0"/>
      <w:sz w:val="24"/>
    </w:rPr>
  </w:style>
  <w:style w:type="paragraph" w:customStyle="1" w:styleId="152">
    <w:name w:val="xl48"/>
    <w:basedOn w:val="1"/>
    <w:autoRedefine/>
    <w:qFormat/>
    <w:uiPriority w:val="0"/>
    <w:pPr>
      <w:widowControl/>
      <w:pBdr>
        <w:left w:val="single" w:color="auto" w:sz="8" w:space="0"/>
        <w:bottom w:val="single" w:color="000000" w:sz="8" w:space="0"/>
        <w:right w:val="single" w:color="auto" w:sz="8" w:space="0"/>
      </w:pBdr>
      <w:spacing w:before="100" w:beforeAutospacing="1" w:after="100" w:afterAutospacing="1"/>
      <w:jc w:val="center"/>
      <w:textAlignment w:val="center"/>
    </w:pPr>
    <w:rPr>
      <w:rFonts w:ascii="宋体"/>
      <w:kern w:val="0"/>
      <w:sz w:val="24"/>
    </w:rPr>
  </w:style>
  <w:style w:type="paragraph" w:customStyle="1" w:styleId="153">
    <w:name w:val="xl23"/>
    <w:next w:val="99"/>
    <w:autoRedefine/>
    <w:qFormat/>
    <w:uiPriority w:val="0"/>
    <w:pPr>
      <w:spacing w:before="100" w:beforeAutospacing="1" w:after="100" w:afterAutospacing="1"/>
      <w:jc w:val="center"/>
    </w:pPr>
    <w:rPr>
      <w:rFonts w:ascii="Arial Unicode MS" w:hAnsi="Arial Unicode MS" w:eastAsia="Arial Unicode MS" w:cs="Times New Roman"/>
      <w:sz w:val="24"/>
      <w:lang w:val="en-US" w:eastAsia="zh-CN" w:bidi="ar-SA"/>
    </w:rPr>
  </w:style>
  <w:style w:type="paragraph" w:customStyle="1" w:styleId="154">
    <w:name w:val="_Style 153"/>
    <w:basedOn w:val="3"/>
    <w:next w:val="1"/>
    <w:autoRedefine/>
    <w:qFormat/>
    <w:uiPriority w:val="39"/>
    <w:pPr>
      <w:keepLines/>
      <w:widowControl/>
      <w:autoSpaceDE/>
      <w:autoSpaceDN/>
      <w:adjustRightInd/>
      <w:spacing w:before="240" w:line="259" w:lineRule="auto"/>
      <w:outlineLvl w:val="9"/>
    </w:pPr>
    <w:rPr>
      <w:rFonts w:ascii="等线 Light" w:hAnsi="等线 Light" w:eastAsia="等线 Light"/>
      <w:b w:val="0"/>
      <w:bCs w:val="0"/>
      <w:color w:val="2E74B5"/>
      <w:sz w:val="32"/>
      <w:szCs w:val="32"/>
    </w:rPr>
  </w:style>
  <w:style w:type="paragraph" w:customStyle="1" w:styleId="155">
    <w:name w:val="Default"/>
    <w:autoRedefine/>
    <w:qFormat/>
    <w:uiPriority w:val="0"/>
    <w:pPr>
      <w:widowControl w:val="0"/>
      <w:autoSpaceDE w:val="0"/>
      <w:autoSpaceDN w:val="0"/>
      <w:adjustRightInd w:val="0"/>
    </w:pPr>
    <w:rPr>
      <w:rFonts w:ascii="......." w:hAnsi="......." w:eastAsia="......." w:cs="......."/>
      <w:color w:val="000000"/>
      <w:sz w:val="24"/>
      <w:szCs w:val="24"/>
      <w:lang w:val="en-US" w:eastAsia="zh-CN" w:bidi="ar-SA"/>
    </w:rPr>
  </w:style>
  <w:style w:type="paragraph" w:customStyle="1" w:styleId="156">
    <w:name w:val="Table Paragraph"/>
    <w:basedOn w:val="1"/>
    <w:autoRedefine/>
    <w:qFormat/>
    <w:uiPriority w:val="1"/>
    <w:pPr>
      <w:autoSpaceDE w:val="0"/>
      <w:autoSpaceDN w:val="0"/>
      <w:jc w:val="left"/>
    </w:pPr>
    <w:rPr>
      <w:rFonts w:ascii="宋体" w:hAnsi="宋体" w:cs="宋体"/>
      <w:kern w:val="0"/>
      <w:sz w:val="22"/>
      <w:szCs w:val="22"/>
      <w:lang w:val="zh-CN" w:bidi="zh-CN"/>
    </w:rPr>
  </w:style>
  <w:style w:type="character" w:customStyle="1" w:styleId="157">
    <w:name w:val="纯文本 字符3"/>
    <w:autoRedefine/>
    <w:qFormat/>
    <w:uiPriority w:val="0"/>
    <w:rPr>
      <w:rFonts w:ascii="宋体" w:hAnsi="Courier New" w:cs="Courier New"/>
      <w:kern w:val="2"/>
      <w:sz w:val="21"/>
      <w:szCs w:val="21"/>
    </w:rPr>
  </w:style>
  <w:style w:type="paragraph" w:customStyle="1" w:styleId="158">
    <w:name w:val="标准正文"/>
    <w:basedOn w:val="1"/>
    <w:autoRedefine/>
    <w:qFormat/>
    <w:uiPriority w:val="0"/>
    <w:pPr>
      <w:spacing w:line="300" w:lineRule="auto"/>
      <w:ind w:firstLine="480" w:firstLineChars="200"/>
    </w:pPr>
    <w:rPr>
      <w:rFonts w:ascii="等线" w:hAnsi="等线"/>
      <w:sz w:val="24"/>
      <w:szCs w:val="20"/>
    </w:rPr>
  </w:style>
  <w:style w:type="paragraph" w:customStyle="1" w:styleId="159">
    <w:name w:val="彩色列表 - 着色 11"/>
    <w:basedOn w:val="1"/>
    <w:autoRedefine/>
    <w:qFormat/>
    <w:uiPriority w:val="34"/>
    <w:pPr>
      <w:spacing w:line="360" w:lineRule="auto"/>
      <w:ind w:firstLine="420" w:firstLineChars="200"/>
    </w:pPr>
    <w:rPr>
      <w:rFonts w:ascii="等线" w:hAnsi="等线"/>
      <w:szCs w:val="22"/>
    </w:rPr>
  </w:style>
  <w:style w:type="paragraph" w:customStyle="1" w:styleId="160">
    <w:name w:val="标题1加"/>
    <w:basedOn w:val="5"/>
    <w:autoRedefine/>
    <w:qFormat/>
    <w:uiPriority w:val="0"/>
    <w:pPr>
      <w:numPr>
        <w:ilvl w:val="0"/>
        <w:numId w:val="4"/>
      </w:numPr>
      <w:tabs>
        <w:tab w:val="left" w:pos="284"/>
        <w:tab w:val="left" w:pos="840"/>
      </w:tabs>
      <w:autoSpaceDE w:val="0"/>
      <w:autoSpaceDN w:val="0"/>
      <w:adjustRightInd w:val="0"/>
      <w:spacing w:beforeLines="50" w:after="0" w:afterLines="50"/>
      <w:ind w:firstLine="0" w:firstLineChars="0"/>
      <w:jc w:val="left"/>
      <w:textAlignment w:val="baseline"/>
    </w:pPr>
    <w:rPr>
      <w:bCs w:val="0"/>
      <w:sz w:val="28"/>
      <w:szCs w:val="20"/>
    </w:rPr>
  </w:style>
  <w:style w:type="paragraph" w:customStyle="1" w:styleId="161">
    <w:name w:val="标题11"/>
    <w:basedOn w:val="1"/>
    <w:autoRedefine/>
    <w:qFormat/>
    <w:uiPriority w:val="0"/>
    <w:pPr>
      <w:numPr>
        <w:ilvl w:val="0"/>
        <w:numId w:val="5"/>
      </w:numPr>
      <w:tabs>
        <w:tab w:val="left" w:pos="780"/>
      </w:tabs>
      <w:spacing w:line="360" w:lineRule="auto"/>
      <w:ind w:left="722" w:firstLine="116" w:firstLineChars="48"/>
      <w:textAlignment w:val="bottom"/>
    </w:pPr>
    <w:rPr>
      <w:rFonts w:ascii="宋体" w:hAnsi="宋体"/>
      <w:b/>
      <w:kern w:val="0"/>
      <w:sz w:val="24"/>
    </w:rPr>
  </w:style>
  <w:style w:type="paragraph" w:customStyle="1" w:styleId="162">
    <w:name w:val="标题4加"/>
    <w:basedOn w:val="163"/>
    <w:autoRedefine/>
    <w:qFormat/>
    <w:uiPriority w:val="0"/>
    <w:pPr>
      <w:numPr>
        <w:ilvl w:val="3"/>
      </w:numPr>
      <w:tabs>
        <w:tab w:val="left" w:pos="1260"/>
        <w:tab w:val="left" w:pos="1680"/>
      </w:tabs>
    </w:pPr>
  </w:style>
  <w:style w:type="paragraph" w:customStyle="1" w:styleId="163">
    <w:name w:val="标题3加"/>
    <w:basedOn w:val="1"/>
    <w:next w:val="2"/>
    <w:autoRedefine/>
    <w:qFormat/>
    <w:uiPriority w:val="0"/>
    <w:pPr>
      <w:numPr>
        <w:ilvl w:val="2"/>
        <w:numId w:val="4"/>
      </w:numPr>
      <w:tabs>
        <w:tab w:val="left" w:pos="1260"/>
      </w:tabs>
      <w:adjustRightInd w:val="0"/>
      <w:spacing w:line="480" w:lineRule="exact"/>
      <w:ind w:firstLine="0"/>
      <w:textAlignment w:val="baseline"/>
    </w:pPr>
    <w:rPr>
      <w:rFonts w:ascii="宋体" w:hAnsi="宋体"/>
      <w:color w:val="0000FF"/>
      <w:spacing w:val="4"/>
      <w:kern w:val="0"/>
      <w:sz w:val="24"/>
      <w:szCs w:val="20"/>
    </w:rPr>
  </w:style>
  <w:style w:type="paragraph" w:customStyle="1" w:styleId="164">
    <w:name w:val="标题2加"/>
    <w:basedOn w:val="1"/>
    <w:autoRedefine/>
    <w:qFormat/>
    <w:uiPriority w:val="0"/>
    <w:pPr>
      <w:numPr>
        <w:ilvl w:val="1"/>
        <w:numId w:val="4"/>
      </w:numPr>
      <w:tabs>
        <w:tab w:val="left" w:pos="840"/>
      </w:tabs>
      <w:adjustRightInd w:val="0"/>
      <w:spacing w:beforeLines="100" w:afterLines="50" w:line="360" w:lineRule="auto"/>
      <w:ind w:firstLine="0"/>
      <w:textAlignment w:val="baseline"/>
    </w:pPr>
    <w:rPr>
      <w:rFonts w:ascii="宋体" w:hAnsi="宋体"/>
      <w:b/>
      <w:color w:val="0000FF"/>
      <w:spacing w:val="4"/>
      <w:kern w:val="0"/>
      <w:sz w:val="24"/>
      <w:szCs w:val="20"/>
    </w:rPr>
  </w:style>
  <w:style w:type="paragraph" w:customStyle="1" w:styleId="165">
    <w:name w:val="列表延续"/>
    <w:basedOn w:val="1"/>
    <w:autoRedefine/>
    <w:qFormat/>
    <w:uiPriority w:val="0"/>
    <w:pPr>
      <w:numPr>
        <w:ilvl w:val="8"/>
        <w:numId w:val="4"/>
      </w:numPr>
      <w:tabs>
        <w:tab w:val="left" w:pos="3780"/>
      </w:tabs>
      <w:adjustRightInd w:val="0"/>
      <w:spacing w:line="360" w:lineRule="auto"/>
      <w:ind w:firstLine="0"/>
      <w:textAlignment w:val="baseline"/>
    </w:pPr>
    <w:rPr>
      <w:rFonts w:hAnsi="Tms Rmn" w:eastAsia="楷体_GB2312"/>
      <w:kern w:val="28"/>
      <w:sz w:val="28"/>
      <w:szCs w:val="20"/>
    </w:rPr>
  </w:style>
  <w:style w:type="table" w:customStyle="1" w:styleId="166">
    <w:name w:val="Table Normal"/>
    <w:autoRedefine/>
    <w:unhideWhenUsed/>
    <w:qFormat/>
    <w:uiPriority w:val="0"/>
    <w:tblPr>
      <w:tblCellMar>
        <w:top w:w="0" w:type="dxa"/>
        <w:left w:w="0" w:type="dxa"/>
        <w:bottom w:w="0" w:type="dxa"/>
        <w:right w:w="0" w:type="dxa"/>
      </w:tblCellMar>
    </w:tblPr>
  </w:style>
  <w:style w:type="paragraph" w:customStyle="1" w:styleId="167">
    <w:name w:val="WPSOffice手动目录 1"/>
    <w:autoRedefine/>
    <w:qFormat/>
    <w:uiPriority w:val="0"/>
    <w:rPr>
      <w:rFonts w:ascii="Times New Roman" w:hAnsi="Times New Roman" w:eastAsia="宋体" w:cs="Times New Roman"/>
      <w:lang w:val="en-US" w:eastAsia="zh-CN" w:bidi="ar-SA"/>
    </w:rPr>
  </w:style>
  <w:style w:type="paragraph" w:customStyle="1" w:styleId="168">
    <w:name w:val="WPSOffice手动目录 2"/>
    <w:autoRedefine/>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dc</Company>
  <Pages>59</Pages>
  <Words>5936</Words>
  <Characters>33836</Characters>
  <Lines>281</Lines>
  <Paragraphs>79</Paragraphs>
  <TotalTime>70</TotalTime>
  <ScaleCrop>false</ScaleCrop>
  <LinksUpToDate>false</LinksUpToDate>
  <CharactersWithSpaces>39693</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2024-02-15T14:38:00Z</dcterms:created>
  <dc:creator>@  W</dc:creator>
  <cp:lastModifiedBy>admin</cp:lastModifiedBy>
  <cp:lastPrinted>2023-09-11T07:33:00Z</cp:lastPrinted>
  <dcterms:modified xsi:type="dcterms:W3CDTF">2024-04-10T03:13:23Z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F5BABA239BA341C588275DF90605C94F_13</vt:lpwstr>
  </property>
  <property fmtid="{D5CDD505-2E9C-101B-9397-08002B2CF9AE}" pid="4" name="commondata">
    <vt:lpwstr>eyJoZGlkIjoiZDhhMTQ0NjMzMmU0ZDdhYzU4MTY0N2FiZDFlMTMwNDIifQ==</vt:lpwstr>
  </property>
</Properties>
</file>