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6</w:t>
      </w:r>
      <w:r>
        <w:rPr>
          <w:rFonts w:hint="eastAsia" w:ascii="仿宋" w:hAnsi="仿宋" w:eastAsia="仿宋" w:cs="仿宋"/>
          <w:b/>
          <w:color w:val="auto"/>
          <w:spacing w:val="-8"/>
          <w:sz w:val="40"/>
          <w:szCs w:val="48"/>
          <w:highlight w:val="none"/>
        </w:rPr>
        <w:t>标段）</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2686651F">
      <w:pPr>
        <w:pStyle w:val="26"/>
        <w:tabs>
          <w:tab w:val="right" w:leader="dot" w:pos="9354"/>
          <w:tab w:val="clear" w:pos="9344"/>
        </w:tabs>
      </w:pPr>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highlight w:val="none"/>
        </w:rPr>
        <w:instrText xml:space="preserve"> HYPERLINK \l _Toc11600 </w:instrText>
      </w:r>
      <w:r>
        <w:rPr>
          <w:rFonts w:eastAsia="仿宋"/>
          <w:highlight w:val="none"/>
        </w:rPr>
        <w:fldChar w:fldCharType="separate"/>
      </w:r>
      <w:r>
        <w:rPr>
          <w:rFonts w:hint="eastAsia" w:ascii="黑体"/>
          <w:szCs w:val="32"/>
          <w:highlight w:val="none"/>
        </w:rPr>
        <w:t>第一章  招标公告</w:t>
      </w:r>
      <w:r>
        <w:tab/>
      </w:r>
      <w:r>
        <w:fldChar w:fldCharType="begin"/>
      </w:r>
      <w:r>
        <w:instrText xml:space="preserve"> PAGEREF _Toc11600 \h </w:instrText>
      </w:r>
      <w:r>
        <w:fldChar w:fldCharType="separate"/>
      </w:r>
      <w:r>
        <w:t>1</w:t>
      </w:r>
      <w:r>
        <w:fldChar w:fldCharType="end"/>
      </w:r>
      <w:r>
        <w:rPr>
          <w:rFonts w:eastAsia="仿宋"/>
          <w:color w:val="auto"/>
          <w:highlight w:val="none"/>
        </w:rPr>
        <w:fldChar w:fldCharType="end"/>
      </w:r>
    </w:p>
    <w:p w14:paraId="62C51620">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_Toc28522 </w:instrText>
      </w:r>
      <w:r>
        <w:rPr>
          <w:rFonts w:eastAsia="仿宋"/>
          <w:highlight w:val="none"/>
        </w:rPr>
        <w:fldChar w:fldCharType="separate"/>
      </w:r>
      <w:r>
        <w:rPr>
          <w:rFonts w:hint="eastAsia" w:ascii="黑体"/>
          <w:szCs w:val="32"/>
          <w:highlight w:val="none"/>
        </w:rPr>
        <w:t>第二章  投标人须知</w:t>
      </w:r>
      <w:r>
        <w:tab/>
      </w:r>
      <w:r>
        <w:fldChar w:fldCharType="begin"/>
      </w:r>
      <w:r>
        <w:instrText xml:space="preserve"> PAGEREF _Toc28522 \h </w:instrText>
      </w:r>
      <w:r>
        <w:fldChar w:fldCharType="separate"/>
      </w:r>
      <w:r>
        <w:t>7</w:t>
      </w:r>
      <w:r>
        <w:fldChar w:fldCharType="end"/>
      </w:r>
      <w:r>
        <w:rPr>
          <w:rFonts w:eastAsia="仿宋"/>
          <w:color w:val="auto"/>
          <w:highlight w:val="none"/>
        </w:rPr>
        <w:fldChar w:fldCharType="end"/>
      </w:r>
    </w:p>
    <w:p w14:paraId="4018985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_Toc12380 </w:instrText>
      </w:r>
      <w:r>
        <w:rPr>
          <w:rFonts w:eastAsia="仿宋"/>
          <w:highlight w:val="none"/>
        </w:rPr>
        <w:fldChar w:fldCharType="separate"/>
      </w:r>
      <w:r>
        <w:rPr>
          <w:rFonts w:hint="eastAsia" w:ascii="宋体" w:hAnsi="宋体" w:eastAsia="宋体" w:cs="宋体"/>
          <w:szCs w:val="36"/>
          <w:highlight w:val="none"/>
        </w:rPr>
        <w:t>一、总  则</w:t>
      </w:r>
      <w:r>
        <w:tab/>
      </w:r>
      <w:r>
        <w:fldChar w:fldCharType="begin"/>
      </w:r>
      <w:r>
        <w:instrText xml:space="preserve"> PAGEREF _Toc12380 \h </w:instrText>
      </w:r>
      <w:r>
        <w:fldChar w:fldCharType="separate"/>
      </w:r>
      <w:r>
        <w:t>12</w:t>
      </w:r>
      <w:r>
        <w:fldChar w:fldCharType="end"/>
      </w:r>
      <w:r>
        <w:rPr>
          <w:rFonts w:eastAsia="仿宋"/>
          <w:color w:val="auto"/>
          <w:highlight w:val="none"/>
        </w:rPr>
        <w:fldChar w:fldCharType="end"/>
      </w:r>
    </w:p>
    <w:p w14:paraId="1A1100E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_Toc11124 </w:instrText>
      </w:r>
      <w:r>
        <w:rPr>
          <w:rFonts w:eastAsia="仿宋"/>
          <w:highlight w:val="none"/>
        </w:rPr>
        <w:fldChar w:fldCharType="separate"/>
      </w:r>
      <w:r>
        <w:rPr>
          <w:rFonts w:hint="eastAsia" w:ascii="宋体" w:hAnsi="宋体" w:eastAsia="宋体"/>
          <w:szCs w:val="24"/>
        </w:rPr>
        <w:t xml:space="preserve">1. </w:t>
      </w:r>
      <w:r>
        <w:rPr>
          <w:rFonts w:hint="eastAsia" w:ascii="宋体" w:hAnsi="宋体" w:eastAsia="宋体"/>
          <w:szCs w:val="24"/>
          <w:highlight w:val="none"/>
        </w:rPr>
        <w:t>说明与定义</w:t>
      </w:r>
      <w:r>
        <w:tab/>
      </w:r>
      <w:r>
        <w:fldChar w:fldCharType="begin"/>
      </w:r>
      <w:r>
        <w:instrText xml:space="preserve"> PAGEREF _Toc11124 \h </w:instrText>
      </w:r>
      <w:r>
        <w:fldChar w:fldCharType="separate"/>
      </w:r>
      <w:r>
        <w:t>12</w:t>
      </w:r>
      <w:r>
        <w:fldChar w:fldCharType="end"/>
      </w:r>
      <w:r>
        <w:rPr>
          <w:rFonts w:eastAsia="仿宋"/>
          <w:color w:val="auto"/>
          <w:highlight w:val="none"/>
        </w:rPr>
        <w:fldChar w:fldCharType="end"/>
      </w:r>
    </w:p>
    <w:p w14:paraId="1E76B8E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_Toc17749 </w:instrText>
      </w:r>
      <w:r>
        <w:rPr>
          <w:rFonts w:eastAsia="仿宋"/>
          <w:highlight w:val="none"/>
        </w:rPr>
        <w:fldChar w:fldCharType="separate"/>
      </w:r>
      <w:r>
        <w:rPr>
          <w:rFonts w:hint="eastAsia" w:ascii="宋体" w:hAnsi="宋体" w:eastAsia="宋体"/>
          <w:szCs w:val="24"/>
        </w:rPr>
        <w:t xml:space="preserve">2. </w:t>
      </w:r>
      <w:r>
        <w:rPr>
          <w:rFonts w:hint="eastAsia" w:ascii="宋体" w:hAnsi="宋体" w:eastAsia="宋体"/>
          <w:szCs w:val="24"/>
          <w:highlight w:val="none"/>
        </w:rPr>
        <w:t>资金来源</w:t>
      </w:r>
      <w:r>
        <w:tab/>
      </w:r>
      <w:r>
        <w:fldChar w:fldCharType="begin"/>
      </w:r>
      <w:r>
        <w:instrText xml:space="preserve"> PAGEREF _Toc17749 \h </w:instrText>
      </w:r>
      <w:r>
        <w:fldChar w:fldCharType="separate"/>
      </w:r>
      <w:r>
        <w:t>12</w:t>
      </w:r>
      <w:r>
        <w:fldChar w:fldCharType="end"/>
      </w:r>
      <w:r>
        <w:rPr>
          <w:rFonts w:eastAsia="仿宋"/>
          <w:color w:val="auto"/>
          <w:highlight w:val="none"/>
        </w:rPr>
        <w:fldChar w:fldCharType="end"/>
      </w:r>
    </w:p>
    <w:p w14:paraId="2DB4417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_Toc18277 </w:instrText>
      </w:r>
      <w:r>
        <w:rPr>
          <w:rFonts w:eastAsia="仿宋"/>
          <w:highlight w:val="none"/>
        </w:rPr>
        <w:fldChar w:fldCharType="separate"/>
      </w:r>
      <w:r>
        <w:rPr>
          <w:rFonts w:hint="eastAsia" w:ascii="宋体" w:hAnsi="宋体" w:eastAsia="宋体"/>
          <w:szCs w:val="24"/>
        </w:rPr>
        <w:t xml:space="preserve">3. </w:t>
      </w:r>
      <w:r>
        <w:rPr>
          <w:rFonts w:hint="eastAsia" w:ascii="宋体" w:hAnsi="宋体" w:eastAsia="宋体"/>
          <w:szCs w:val="24"/>
          <w:highlight w:val="none"/>
        </w:rPr>
        <w:t>招标内容、合同履行期限（实质性要求）</w:t>
      </w:r>
      <w:r>
        <w:tab/>
      </w:r>
      <w:r>
        <w:fldChar w:fldCharType="begin"/>
      </w:r>
      <w:r>
        <w:instrText xml:space="preserve"> PAGEREF _Toc18277 \h </w:instrText>
      </w:r>
      <w:r>
        <w:fldChar w:fldCharType="separate"/>
      </w:r>
      <w:r>
        <w:t>12</w:t>
      </w:r>
      <w:r>
        <w:fldChar w:fldCharType="end"/>
      </w:r>
      <w:r>
        <w:rPr>
          <w:rFonts w:eastAsia="仿宋"/>
          <w:color w:val="auto"/>
          <w:highlight w:val="none"/>
        </w:rPr>
        <w:fldChar w:fldCharType="end"/>
      </w:r>
    </w:p>
    <w:p w14:paraId="0298C9A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_Toc16019 </w:instrText>
      </w:r>
      <w:r>
        <w:rPr>
          <w:rFonts w:eastAsia="仿宋"/>
          <w:highlight w:val="none"/>
        </w:rPr>
        <w:fldChar w:fldCharType="separate"/>
      </w:r>
      <w:r>
        <w:rPr>
          <w:rFonts w:hint="eastAsia" w:ascii="宋体" w:hAnsi="宋体" w:eastAsia="宋体"/>
          <w:szCs w:val="24"/>
        </w:rPr>
        <w:t xml:space="preserve">4. </w:t>
      </w:r>
      <w:r>
        <w:rPr>
          <w:rFonts w:hint="eastAsia" w:ascii="宋体" w:hAnsi="宋体" w:eastAsia="宋体"/>
          <w:szCs w:val="24"/>
          <w:highlight w:val="none"/>
        </w:rPr>
        <w:t>合格投标人和产品的条件（实质性要求）</w:t>
      </w:r>
      <w:r>
        <w:tab/>
      </w:r>
      <w:r>
        <w:fldChar w:fldCharType="begin"/>
      </w:r>
      <w:r>
        <w:instrText xml:space="preserve"> PAGEREF _Toc16019 \h </w:instrText>
      </w:r>
      <w:r>
        <w:fldChar w:fldCharType="separate"/>
      </w:r>
      <w:r>
        <w:t>12</w:t>
      </w:r>
      <w:r>
        <w:fldChar w:fldCharType="end"/>
      </w:r>
      <w:r>
        <w:rPr>
          <w:rFonts w:eastAsia="仿宋"/>
          <w:color w:val="auto"/>
          <w:highlight w:val="none"/>
        </w:rPr>
        <w:fldChar w:fldCharType="end"/>
      </w:r>
    </w:p>
    <w:p w14:paraId="4768280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_Toc23450 </w:instrText>
      </w:r>
      <w:r>
        <w:rPr>
          <w:rFonts w:eastAsia="仿宋"/>
          <w:highlight w:val="none"/>
        </w:rPr>
        <w:fldChar w:fldCharType="separate"/>
      </w:r>
      <w:r>
        <w:rPr>
          <w:rFonts w:hint="eastAsia" w:ascii="宋体" w:hAnsi="宋体" w:eastAsia="宋体"/>
          <w:szCs w:val="24"/>
        </w:rPr>
        <w:t xml:space="preserve">5. </w:t>
      </w:r>
      <w:r>
        <w:rPr>
          <w:rFonts w:hint="eastAsia" w:ascii="宋体" w:hAnsi="宋体" w:eastAsia="宋体"/>
          <w:szCs w:val="24"/>
          <w:highlight w:val="none"/>
        </w:rPr>
        <w:t>投标费用</w:t>
      </w:r>
      <w:r>
        <w:tab/>
      </w:r>
      <w:r>
        <w:fldChar w:fldCharType="begin"/>
      </w:r>
      <w:r>
        <w:instrText xml:space="preserve"> PAGEREF _Toc23450 \h </w:instrText>
      </w:r>
      <w:r>
        <w:fldChar w:fldCharType="separate"/>
      </w:r>
      <w:r>
        <w:t>12</w:t>
      </w:r>
      <w:r>
        <w:fldChar w:fldCharType="end"/>
      </w:r>
      <w:r>
        <w:rPr>
          <w:rFonts w:eastAsia="仿宋"/>
          <w:color w:val="auto"/>
          <w:highlight w:val="none"/>
        </w:rPr>
        <w:fldChar w:fldCharType="end"/>
      </w:r>
    </w:p>
    <w:p w14:paraId="77E652D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_Toc19643 </w:instrText>
      </w:r>
      <w:r>
        <w:rPr>
          <w:rFonts w:eastAsia="仿宋"/>
          <w:highlight w:val="none"/>
        </w:rPr>
        <w:fldChar w:fldCharType="separate"/>
      </w:r>
      <w:r>
        <w:rPr>
          <w:rFonts w:hint="eastAsia" w:ascii="宋体" w:hAnsi="宋体" w:eastAsia="宋体"/>
          <w:szCs w:val="24"/>
        </w:rPr>
        <w:t xml:space="preserve">6. </w:t>
      </w:r>
      <w:r>
        <w:rPr>
          <w:rFonts w:hint="eastAsia" w:ascii="宋体" w:hAnsi="宋体" w:eastAsia="宋体"/>
          <w:szCs w:val="24"/>
          <w:highlight w:val="none"/>
        </w:rPr>
        <w:t>质疑</w:t>
      </w:r>
      <w:r>
        <w:tab/>
      </w:r>
      <w:r>
        <w:fldChar w:fldCharType="begin"/>
      </w:r>
      <w:r>
        <w:instrText xml:space="preserve"> PAGEREF _Toc19643 \h </w:instrText>
      </w:r>
      <w:r>
        <w:fldChar w:fldCharType="separate"/>
      </w:r>
      <w:r>
        <w:t>12</w:t>
      </w:r>
      <w:r>
        <w:fldChar w:fldCharType="end"/>
      </w:r>
      <w:r>
        <w:rPr>
          <w:rFonts w:eastAsia="仿宋"/>
          <w:color w:val="auto"/>
          <w:highlight w:val="none"/>
        </w:rPr>
        <w:fldChar w:fldCharType="end"/>
      </w:r>
    </w:p>
    <w:p w14:paraId="41DABF9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_Toc28902 </w:instrText>
      </w:r>
      <w:r>
        <w:rPr>
          <w:rFonts w:eastAsia="仿宋"/>
          <w:highlight w:val="none"/>
        </w:rPr>
        <w:fldChar w:fldCharType="separate"/>
      </w:r>
      <w:r>
        <w:rPr>
          <w:rFonts w:hint="eastAsia" w:ascii="宋体" w:hAnsi="宋体" w:eastAsia="宋体"/>
          <w:szCs w:val="24"/>
        </w:rPr>
        <w:t xml:space="preserve">7. </w:t>
      </w:r>
      <w:r>
        <w:rPr>
          <w:rFonts w:hint="eastAsia" w:ascii="宋体" w:hAnsi="宋体" w:eastAsia="宋体"/>
          <w:szCs w:val="24"/>
          <w:highlight w:val="none"/>
        </w:rPr>
        <w:t>投诉</w:t>
      </w:r>
      <w:r>
        <w:tab/>
      </w:r>
      <w:r>
        <w:fldChar w:fldCharType="begin"/>
      </w:r>
      <w:r>
        <w:instrText xml:space="preserve"> PAGEREF _Toc28902 \h </w:instrText>
      </w:r>
      <w:r>
        <w:fldChar w:fldCharType="separate"/>
      </w:r>
      <w:r>
        <w:t>13</w:t>
      </w:r>
      <w:r>
        <w:fldChar w:fldCharType="end"/>
      </w:r>
      <w:r>
        <w:rPr>
          <w:rFonts w:eastAsia="仿宋"/>
          <w:color w:val="auto"/>
          <w:highlight w:val="none"/>
        </w:rPr>
        <w:fldChar w:fldCharType="end"/>
      </w:r>
    </w:p>
    <w:p w14:paraId="540DEB7B">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_Toc27951 </w:instrText>
      </w:r>
      <w:r>
        <w:rPr>
          <w:rFonts w:eastAsia="仿宋"/>
          <w:highlight w:val="none"/>
        </w:rPr>
        <w:fldChar w:fldCharType="separate"/>
      </w:r>
      <w:r>
        <w:rPr>
          <w:rFonts w:hint="eastAsia" w:ascii="宋体" w:hAnsi="宋体" w:eastAsia="宋体" w:cs="宋体"/>
          <w:szCs w:val="36"/>
          <w:highlight w:val="none"/>
        </w:rPr>
        <w:t>二、招标文件</w:t>
      </w:r>
      <w:r>
        <w:tab/>
      </w:r>
      <w:r>
        <w:fldChar w:fldCharType="begin"/>
      </w:r>
      <w:r>
        <w:instrText xml:space="preserve"> PAGEREF _Toc27951 \h </w:instrText>
      </w:r>
      <w:r>
        <w:fldChar w:fldCharType="separate"/>
      </w:r>
      <w:r>
        <w:t>13</w:t>
      </w:r>
      <w:r>
        <w:fldChar w:fldCharType="end"/>
      </w:r>
      <w:r>
        <w:rPr>
          <w:rFonts w:eastAsia="仿宋"/>
          <w:color w:val="auto"/>
          <w:highlight w:val="none"/>
        </w:rPr>
        <w:fldChar w:fldCharType="end"/>
      </w:r>
    </w:p>
    <w:p w14:paraId="6EAA3EF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_Toc4009 </w:instrText>
      </w:r>
      <w:r>
        <w:rPr>
          <w:rFonts w:eastAsia="仿宋"/>
          <w:highlight w:val="none"/>
        </w:rPr>
        <w:fldChar w:fldCharType="separate"/>
      </w:r>
      <w:r>
        <w:rPr>
          <w:rFonts w:hint="eastAsia" w:ascii="宋体" w:hAnsi="宋体" w:eastAsia="宋体"/>
          <w:szCs w:val="24"/>
        </w:rPr>
        <w:t xml:space="preserve">8. </w:t>
      </w:r>
      <w:r>
        <w:rPr>
          <w:rFonts w:hint="eastAsia" w:ascii="宋体" w:hAnsi="宋体" w:eastAsia="宋体"/>
          <w:szCs w:val="24"/>
          <w:highlight w:val="none"/>
        </w:rPr>
        <w:t>招标文件构成</w:t>
      </w:r>
      <w:r>
        <w:tab/>
      </w:r>
      <w:r>
        <w:fldChar w:fldCharType="begin"/>
      </w:r>
      <w:r>
        <w:instrText xml:space="preserve"> PAGEREF _Toc4009 \h </w:instrText>
      </w:r>
      <w:r>
        <w:fldChar w:fldCharType="separate"/>
      </w:r>
      <w:r>
        <w:t>13</w:t>
      </w:r>
      <w:r>
        <w:fldChar w:fldCharType="end"/>
      </w:r>
      <w:r>
        <w:rPr>
          <w:rFonts w:eastAsia="仿宋"/>
          <w:color w:val="auto"/>
          <w:highlight w:val="none"/>
        </w:rPr>
        <w:fldChar w:fldCharType="end"/>
      </w:r>
    </w:p>
    <w:p w14:paraId="3718EA0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_Toc11562 </w:instrText>
      </w:r>
      <w:r>
        <w:rPr>
          <w:rFonts w:eastAsia="仿宋"/>
          <w:highlight w:val="none"/>
        </w:rPr>
        <w:fldChar w:fldCharType="separate"/>
      </w:r>
      <w:r>
        <w:rPr>
          <w:rFonts w:hint="eastAsia" w:ascii="宋体" w:hAnsi="宋体" w:eastAsia="宋体"/>
          <w:szCs w:val="24"/>
        </w:rPr>
        <w:t xml:space="preserve">9. </w:t>
      </w:r>
      <w:r>
        <w:rPr>
          <w:rFonts w:hint="eastAsia" w:ascii="宋体" w:hAnsi="宋体" w:eastAsia="宋体"/>
          <w:szCs w:val="24"/>
          <w:highlight w:val="none"/>
        </w:rPr>
        <w:t>招标文件的澄清</w:t>
      </w:r>
      <w:r>
        <w:tab/>
      </w:r>
      <w:r>
        <w:fldChar w:fldCharType="begin"/>
      </w:r>
      <w:r>
        <w:instrText xml:space="preserve"> PAGEREF _Toc11562 \h </w:instrText>
      </w:r>
      <w:r>
        <w:fldChar w:fldCharType="separate"/>
      </w:r>
      <w:r>
        <w:t>13</w:t>
      </w:r>
      <w:r>
        <w:fldChar w:fldCharType="end"/>
      </w:r>
      <w:r>
        <w:rPr>
          <w:rFonts w:eastAsia="仿宋"/>
          <w:color w:val="auto"/>
          <w:highlight w:val="none"/>
        </w:rPr>
        <w:fldChar w:fldCharType="end"/>
      </w:r>
    </w:p>
    <w:p w14:paraId="00645B49">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_Toc9483 </w:instrText>
      </w:r>
      <w:r>
        <w:rPr>
          <w:rFonts w:eastAsia="仿宋"/>
          <w:highlight w:val="none"/>
        </w:rPr>
        <w:fldChar w:fldCharType="separate"/>
      </w:r>
      <w:r>
        <w:rPr>
          <w:rFonts w:hint="eastAsia" w:ascii="宋体" w:hAnsi="宋体" w:eastAsia="宋体"/>
          <w:szCs w:val="24"/>
        </w:rPr>
        <w:t xml:space="preserve">10. </w:t>
      </w:r>
      <w:r>
        <w:rPr>
          <w:rFonts w:hint="eastAsia" w:ascii="宋体" w:hAnsi="宋体" w:eastAsia="宋体"/>
          <w:szCs w:val="24"/>
          <w:highlight w:val="none"/>
        </w:rPr>
        <w:t>招标文件的修改</w:t>
      </w:r>
      <w:r>
        <w:tab/>
      </w:r>
      <w:r>
        <w:fldChar w:fldCharType="begin"/>
      </w:r>
      <w:r>
        <w:instrText xml:space="preserve"> PAGEREF _Toc9483 \h </w:instrText>
      </w:r>
      <w:r>
        <w:fldChar w:fldCharType="separate"/>
      </w:r>
      <w:r>
        <w:t>13</w:t>
      </w:r>
      <w:r>
        <w:fldChar w:fldCharType="end"/>
      </w:r>
      <w:r>
        <w:rPr>
          <w:rFonts w:eastAsia="仿宋"/>
          <w:color w:val="auto"/>
          <w:highlight w:val="none"/>
        </w:rPr>
        <w:fldChar w:fldCharType="end"/>
      </w:r>
    </w:p>
    <w:p w14:paraId="77F52A3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_Toc28328 </w:instrText>
      </w:r>
      <w:r>
        <w:rPr>
          <w:rFonts w:eastAsia="仿宋"/>
          <w:highlight w:val="none"/>
        </w:rPr>
        <w:fldChar w:fldCharType="separate"/>
      </w:r>
      <w:r>
        <w:rPr>
          <w:rFonts w:hint="eastAsia" w:ascii="宋体" w:hAnsi="宋体" w:eastAsia="宋体" w:cs="宋体"/>
          <w:szCs w:val="36"/>
          <w:highlight w:val="none"/>
        </w:rPr>
        <w:t>三、投标文件的编制</w:t>
      </w:r>
      <w:r>
        <w:tab/>
      </w:r>
      <w:r>
        <w:fldChar w:fldCharType="begin"/>
      </w:r>
      <w:r>
        <w:instrText xml:space="preserve"> PAGEREF _Toc28328 \h </w:instrText>
      </w:r>
      <w:r>
        <w:fldChar w:fldCharType="separate"/>
      </w:r>
      <w:r>
        <w:t>14</w:t>
      </w:r>
      <w:r>
        <w:fldChar w:fldCharType="end"/>
      </w:r>
      <w:r>
        <w:rPr>
          <w:rFonts w:eastAsia="仿宋"/>
          <w:color w:val="auto"/>
          <w:highlight w:val="none"/>
        </w:rPr>
        <w:fldChar w:fldCharType="end"/>
      </w:r>
    </w:p>
    <w:p w14:paraId="4AD5CC6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_Toc22214 </w:instrText>
      </w:r>
      <w:r>
        <w:rPr>
          <w:rFonts w:eastAsia="仿宋"/>
          <w:highlight w:val="none"/>
        </w:rPr>
        <w:fldChar w:fldCharType="separate"/>
      </w:r>
      <w:r>
        <w:rPr>
          <w:rFonts w:hint="eastAsia" w:ascii="宋体" w:hAnsi="宋体" w:eastAsia="宋体"/>
          <w:szCs w:val="24"/>
        </w:rPr>
        <w:t xml:space="preserve">11. </w:t>
      </w:r>
      <w:r>
        <w:rPr>
          <w:rFonts w:hint="eastAsia" w:ascii="宋体" w:hAnsi="宋体" w:eastAsia="宋体"/>
          <w:szCs w:val="24"/>
          <w:highlight w:val="none"/>
        </w:rPr>
        <w:t>投标文件编写注意事项（实质性要求）</w:t>
      </w:r>
      <w:r>
        <w:tab/>
      </w:r>
      <w:r>
        <w:fldChar w:fldCharType="begin"/>
      </w:r>
      <w:r>
        <w:instrText xml:space="preserve"> PAGEREF _Toc22214 \h </w:instrText>
      </w:r>
      <w:r>
        <w:fldChar w:fldCharType="separate"/>
      </w:r>
      <w:r>
        <w:t>14</w:t>
      </w:r>
      <w:r>
        <w:fldChar w:fldCharType="end"/>
      </w:r>
      <w:r>
        <w:rPr>
          <w:rFonts w:eastAsia="仿宋"/>
          <w:color w:val="auto"/>
          <w:highlight w:val="none"/>
        </w:rPr>
        <w:fldChar w:fldCharType="end"/>
      </w:r>
    </w:p>
    <w:p w14:paraId="1D4AA10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_Toc1405 </w:instrText>
      </w:r>
      <w:r>
        <w:rPr>
          <w:rFonts w:eastAsia="仿宋"/>
          <w:highlight w:val="none"/>
        </w:rPr>
        <w:fldChar w:fldCharType="separate"/>
      </w:r>
      <w:r>
        <w:rPr>
          <w:rFonts w:hint="eastAsia" w:ascii="宋体" w:hAnsi="宋体" w:eastAsia="宋体"/>
          <w:szCs w:val="24"/>
        </w:rPr>
        <w:t xml:space="preserve">12. </w:t>
      </w:r>
      <w:r>
        <w:rPr>
          <w:rFonts w:hint="eastAsia" w:ascii="宋体" w:hAnsi="宋体" w:eastAsia="宋体"/>
          <w:szCs w:val="24"/>
          <w:highlight w:val="none"/>
        </w:rPr>
        <w:t>投标文件构成（实质性要求）</w:t>
      </w:r>
      <w:r>
        <w:tab/>
      </w:r>
      <w:r>
        <w:fldChar w:fldCharType="begin"/>
      </w:r>
      <w:r>
        <w:instrText xml:space="preserve"> PAGEREF _Toc1405 \h </w:instrText>
      </w:r>
      <w:r>
        <w:fldChar w:fldCharType="separate"/>
      </w:r>
      <w:r>
        <w:t>14</w:t>
      </w:r>
      <w:r>
        <w:fldChar w:fldCharType="end"/>
      </w:r>
      <w:r>
        <w:rPr>
          <w:rFonts w:eastAsia="仿宋"/>
          <w:color w:val="auto"/>
          <w:highlight w:val="none"/>
        </w:rPr>
        <w:fldChar w:fldCharType="end"/>
      </w:r>
    </w:p>
    <w:p w14:paraId="0059E8B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_Toc25170 </w:instrText>
      </w:r>
      <w:r>
        <w:rPr>
          <w:rFonts w:eastAsia="仿宋"/>
          <w:highlight w:val="none"/>
        </w:rPr>
        <w:fldChar w:fldCharType="separate"/>
      </w:r>
      <w:r>
        <w:rPr>
          <w:rFonts w:hint="eastAsia" w:ascii="宋体" w:hAnsi="宋体" w:eastAsia="宋体"/>
          <w:szCs w:val="24"/>
        </w:rPr>
        <w:t xml:space="preserve">13. </w:t>
      </w:r>
      <w:r>
        <w:rPr>
          <w:rFonts w:hint="eastAsia" w:ascii="宋体" w:hAnsi="宋体" w:eastAsia="宋体"/>
          <w:szCs w:val="24"/>
          <w:highlight w:val="none"/>
        </w:rPr>
        <w:t>投标文件的格式要求</w:t>
      </w:r>
      <w:r>
        <w:tab/>
      </w:r>
      <w:r>
        <w:fldChar w:fldCharType="begin"/>
      </w:r>
      <w:r>
        <w:instrText xml:space="preserve"> PAGEREF _Toc25170 \h </w:instrText>
      </w:r>
      <w:r>
        <w:fldChar w:fldCharType="separate"/>
      </w:r>
      <w:r>
        <w:t>15</w:t>
      </w:r>
      <w:r>
        <w:fldChar w:fldCharType="end"/>
      </w:r>
      <w:r>
        <w:rPr>
          <w:rFonts w:eastAsia="仿宋"/>
          <w:color w:val="auto"/>
          <w:highlight w:val="none"/>
        </w:rPr>
        <w:fldChar w:fldCharType="end"/>
      </w:r>
    </w:p>
    <w:p w14:paraId="536D789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_Toc30293 </w:instrText>
      </w:r>
      <w:r>
        <w:rPr>
          <w:rFonts w:eastAsia="仿宋"/>
          <w:highlight w:val="none"/>
        </w:rPr>
        <w:fldChar w:fldCharType="separate"/>
      </w:r>
      <w:r>
        <w:rPr>
          <w:rFonts w:hint="eastAsia" w:ascii="宋体" w:hAnsi="宋体" w:eastAsia="宋体"/>
          <w:szCs w:val="24"/>
        </w:rPr>
        <w:t xml:space="preserve">14. </w:t>
      </w:r>
      <w:r>
        <w:rPr>
          <w:rFonts w:hint="eastAsia" w:ascii="宋体" w:hAnsi="宋体" w:eastAsia="宋体"/>
          <w:szCs w:val="24"/>
          <w:highlight w:val="none"/>
        </w:rPr>
        <w:t>投标报价（实质性要求）</w:t>
      </w:r>
      <w:r>
        <w:tab/>
      </w:r>
      <w:r>
        <w:fldChar w:fldCharType="begin"/>
      </w:r>
      <w:r>
        <w:instrText xml:space="preserve"> PAGEREF _Toc30293 \h </w:instrText>
      </w:r>
      <w:r>
        <w:fldChar w:fldCharType="separate"/>
      </w:r>
      <w:r>
        <w:t>15</w:t>
      </w:r>
      <w:r>
        <w:fldChar w:fldCharType="end"/>
      </w:r>
      <w:r>
        <w:rPr>
          <w:rFonts w:eastAsia="仿宋"/>
          <w:color w:val="auto"/>
          <w:highlight w:val="none"/>
        </w:rPr>
        <w:fldChar w:fldCharType="end"/>
      </w:r>
    </w:p>
    <w:p w14:paraId="63026F6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_Toc19067 </w:instrText>
      </w:r>
      <w:r>
        <w:rPr>
          <w:rFonts w:eastAsia="仿宋"/>
          <w:highlight w:val="none"/>
        </w:rPr>
        <w:fldChar w:fldCharType="separate"/>
      </w:r>
      <w:r>
        <w:rPr>
          <w:rFonts w:hint="eastAsia" w:ascii="宋体" w:hAnsi="宋体" w:eastAsia="宋体"/>
          <w:szCs w:val="24"/>
        </w:rPr>
        <w:t xml:space="preserve">15. </w:t>
      </w:r>
      <w:r>
        <w:rPr>
          <w:rFonts w:hint="eastAsia" w:ascii="宋体" w:hAnsi="宋体" w:eastAsia="宋体"/>
          <w:szCs w:val="24"/>
          <w:highlight w:val="none"/>
        </w:rPr>
        <w:t>投标货币（实质性要求）</w:t>
      </w:r>
      <w:r>
        <w:tab/>
      </w:r>
      <w:r>
        <w:fldChar w:fldCharType="begin"/>
      </w:r>
      <w:r>
        <w:instrText xml:space="preserve"> PAGEREF _Toc19067 \h </w:instrText>
      </w:r>
      <w:r>
        <w:fldChar w:fldCharType="separate"/>
      </w:r>
      <w:r>
        <w:t>15</w:t>
      </w:r>
      <w:r>
        <w:fldChar w:fldCharType="end"/>
      </w:r>
      <w:r>
        <w:rPr>
          <w:rFonts w:eastAsia="仿宋"/>
          <w:color w:val="auto"/>
          <w:highlight w:val="none"/>
        </w:rPr>
        <w:fldChar w:fldCharType="end"/>
      </w:r>
    </w:p>
    <w:p w14:paraId="50084461">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_Toc11881 </w:instrText>
      </w:r>
      <w:r>
        <w:rPr>
          <w:rFonts w:eastAsia="仿宋"/>
          <w:highlight w:val="none"/>
        </w:rPr>
        <w:fldChar w:fldCharType="separate"/>
      </w:r>
      <w:r>
        <w:rPr>
          <w:rFonts w:hint="eastAsia" w:ascii="宋体" w:hAnsi="宋体" w:eastAsia="宋体"/>
          <w:szCs w:val="24"/>
        </w:rPr>
        <w:t xml:space="preserve">16. </w:t>
      </w:r>
      <w:r>
        <w:rPr>
          <w:rFonts w:hint="eastAsia" w:ascii="宋体" w:hAnsi="宋体" w:eastAsia="宋体"/>
          <w:szCs w:val="24"/>
          <w:highlight w:val="none"/>
        </w:rPr>
        <w:t>投标有效期（实质性要求）</w:t>
      </w:r>
      <w:r>
        <w:tab/>
      </w:r>
      <w:r>
        <w:fldChar w:fldCharType="begin"/>
      </w:r>
      <w:r>
        <w:instrText xml:space="preserve"> PAGEREF _Toc11881 \h </w:instrText>
      </w:r>
      <w:r>
        <w:fldChar w:fldCharType="separate"/>
      </w:r>
      <w:r>
        <w:t>15</w:t>
      </w:r>
      <w:r>
        <w:fldChar w:fldCharType="end"/>
      </w:r>
      <w:r>
        <w:rPr>
          <w:rFonts w:eastAsia="仿宋"/>
          <w:color w:val="auto"/>
          <w:highlight w:val="none"/>
        </w:rPr>
        <w:fldChar w:fldCharType="end"/>
      </w:r>
    </w:p>
    <w:p w14:paraId="54A5FBB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_Toc28332 </w:instrText>
      </w:r>
      <w:r>
        <w:rPr>
          <w:rFonts w:eastAsia="仿宋"/>
          <w:highlight w:val="none"/>
        </w:rPr>
        <w:fldChar w:fldCharType="separate"/>
      </w:r>
      <w:r>
        <w:rPr>
          <w:rFonts w:hint="eastAsia" w:ascii="宋体" w:hAnsi="宋体" w:eastAsia="宋体"/>
          <w:szCs w:val="24"/>
        </w:rPr>
        <w:t xml:space="preserve">17. </w:t>
      </w:r>
      <w:r>
        <w:rPr>
          <w:rFonts w:hint="eastAsia" w:ascii="宋体" w:hAnsi="宋体" w:eastAsia="宋体"/>
          <w:szCs w:val="24"/>
          <w:highlight w:val="none"/>
        </w:rPr>
        <w:t>投标文件的书写要求（实质性要求）</w:t>
      </w:r>
      <w:r>
        <w:tab/>
      </w:r>
      <w:r>
        <w:fldChar w:fldCharType="begin"/>
      </w:r>
      <w:r>
        <w:instrText xml:space="preserve"> PAGEREF _Toc28332 \h </w:instrText>
      </w:r>
      <w:r>
        <w:fldChar w:fldCharType="separate"/>
      </w:r>
      <w:r>
        <w:t>16</w:t>
      </w:r>
      <w:r>
        <w:fldChar w:fldCharType="end"/>
      </w:r>
      <w:r>
        <w:rPr>
          <w:rFonts w:eastAsia="仿宋"/>
          <w:color w:val="auto"/>
          <w:highlight w:val="none"/>
        </w:rPr>
        <w:fldChar w:fldCharType="end"/>
      </w:r>
    </w:p>
    <w:p w14:paraId="3B2F9E6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_Toc561 </w:instrText>
      </w:r>
      <w:r>
        <w:rPr>
          <w:rFonts w:eastAsia="仿宋"/>
          <w:highlight w:val="none"/>
        </w:rPr>
        <w:fldChar w:fldCharType="separate"/>
      </w:r>
      <w:r>
        <w:rPr>
          <w:rFonts w:hint="eastAsia" w:ascii="宋体" w:hAnsi="宋体" w:eastAsia="宋体"/>
          <w:szCs w:val="24"/>
        </w:rPr>
        <w:t xml:space="preserve">18. </w:t>
      </w:r>
      <w:r>
        <w:rPr>
          <w:rFonts w:hint="eastAsia" w:ascii="宋体" w:hAnsi="宋体" w:eastAsia="宋体"/>
          <w:szCs w:val="24"/>
          <w:highlight w:val="none"/>
        </w:rPr>
        <w:t>投标保证金（实质性要求）</w:t>
      </w:r>
      <w:r>
        <w:tab/>
      </w:r>
      <w:r>
        <w:fldChar w:fldCharType="begin"/>
      </w:r>
      <w:r>
        <w:instrText xml:space="preserve"> PAGEREF _Toc561 \h </w:instrText>
      </w:r>
      <w:r>
        <w:fldChar w:fldCharType="separate"/>
      </w:r>
      <w:r>
        <w:t>16</w:t>
      </w:r>
      <w:r>
        <w:fldChar w:fldCharType="end"/>
      </w:r>
      <w:r>
        <w:rPr>
          <w:rFonts w:eastAsia="仿宋"/>
          <w:color w:val="auto"/>
          <w:highlight w:val="none"/>
        </w:rPr>
        <w:fldChar w:fldCharType="end"/>
      </w:r>
    </w:p>
    <w:p w14:paraId="5A69819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_Toc16744 </w:instrText>
      </w:r>
      <w:r>
        <w:rPr>
          <w:rFonts w:eastAsia="仿宋"/>
          <w:highlight w:val="none"/>
        </w:rPr>
        <w:fldChar w:fldCharType="separate"/>
      </w:r>
      <w:r>
        <w:rPr>
          <w:rFonts w:hint="eastAsia" w:ascii="宋体" w:hAnsi="宋体" w:eastAsia="宋体" w:cs="宋体"/>
          <w:szCs w:val="36"/>
          <w:highlight w:val="none"/>
        </w:rPr>
        <w:t>四、投标文件的提交</w:t>
      </w:r>
      <w:r>
        <w:tab/>
      </w:r>
      <w:r>
        <w:fldChar w:fldCharType="begin"/>
      </w:r>
      <w:r>
        <w:instrText xml:space="preserve"> PAGEREF _Toc16744 \h </w:instrText>
      </w:r>
      <w:r>
        <w:fldChar w:fldCharType="separate"/>
      </w:r>
      <w:r>
        <w:t>17</w:t>
      </w:r>
      <w:r>
        <w:fldChar w:fldCharType="end"/>
      </w:r>
      <w:r>
        <w:rPr>
          <w:rFonts w:eastAsia="仿宋"/>
          <w:color w:val="auto"/>
          <w:highlight w:val="none"/>
        </w:rPr>
        <w:fldChar w:fldCharType="end"/>
      </w:r>
    </w:p>
    <w:p w14:paraId="5C62B27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_Toc29279 </w:instrText>
      </w:r>
      <w:r>
        <w:rPr>
          <w:rFonts w:eastAsia="仿宋"/>
          <w:highlight w:val="none"/>
        </w:rPr>
        <w:fldChar w:fldCharType="separate"/>
      </w:r>
      <w:r>
        <w:rPr>
          <w:rFonts w:hint="eastAsia" w:ascii="宋体" w:hAnsi="宋体" w:eastAsia="宋体"/>
          <w:szCs w:val="24"/>
        </w:rPr>
        <w:t xml:space="preserve">19. </w:t>
      </w:r>
      <w:r>
        <w:rPr>
          <w:rFonts w:hint="eastAsia" w:ascii="宋体" w:hAnsi="宋体" w:eastAsia="宋体"/>
          <w:szCs w:val="24"/>
          <w:highlight w:val="none"/>
        </w:rPr>
        <w:t>投标文件的</w:t>
      </w:r>
      <w:r>
        <w:rPr>
          <w:rFonts w:hint="eastAsia" w:ascii="宋体" w:hAnsi="宋体" w:eastAsia="宋体"/>
          <w:szCs w:val="24"/>
          <w:highlight w:val="none"/>
          <w:lang w:val="en-US" w:eastAsia="zh-CN"/>
        </w:rPr>
        <w:t>加密</w:t>
      </w:r>
      <w:r>
        <w:rPr>
          <w:rFonts w:hint="eastAsia" w:ascii="宋体" w:hAnsi="宋体" w:eastAsia="宋体"/>
          <w:szCs w:val="24"/>
          <w:highlight w:val="none"/>
        </w:rPr>
        <w:t>与标记（实质性要求）</w:t>
      </w:r>
      <w:r>
        <w:tab/>
      </w:r>
      <w:r>
        <w:fldChar w:fldCharType="begin"/>
      </w:r>
      <w:r>
        <w:instrText xml:space="preserve"> PAGEREF _Toc29279 \h </w:instrText>
      </w:r>
      <w:r>
        <w:fldChar w:fldCharType="separate"/>
      </w:r>
      <w:r>
        <w:t>17</w:t>
      </w:r>
      <w:r>
        <w:fldChar w:fldCharType="end"/>
      </w:r>
      <w:r>
        <w:rPr>
          <w:rFonts w:eastAsia="仿宋"/>
          <w:color w:val="auto"/>
          <w:highlight w:val="none"/>
        </w:rPr>
        <w:fldChar w:fldCharType="end"/>
      </w:r>
    </w:p>
    <w:p w14:paraId="593308A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_Toc16339 </w:instrText>
      </w:r>
      <w:r>
        <w:rPr>
          <w:rFonts w:eastAsia="仿宋"/>
          <w:highlight w:val="none"/>
        </w:rPr>
        <w:fldChar w:fldCharType="separate"/>
      </w:r>
      <w:r>
        <w:rPr>
          <w:rFonts w:hint="eastAsia" w:ascii="宋体" w:hAnsi="宋体" w:eastAsia="宋体"/>
          <w:szCs w:val="24"/>
        </w:rPr>
        <w:t xml:space="preserve">20. </w:t>
      </w:r>
      <w:r>
        <w:rPr>
          <w:rFonts w:hint="eastAsia" w:ascii="宋体" w:hAnsi="宋体" w:eastAsia="宋体"/>
          <w:szCs w:val="24"/>
          <w:highlight w:val="none"/>
        </w:rPr>
        <w:t>提交投标文件的截止时间和地点（实质性要求）</w:t>
      </w:r>
      <w:r>
        <w:tab/>
      </w:r>
      <w:r>
        <w:fldChar w:fldCharType="begin"/>
      </w:r>
      <w:r>
        <w:instrText xml:space="preserve"> PAGEREF _Toc16339 \h </w:instrText>
      </w:r>
      <w:r>
        <w:fldChar w:fldCharType="separate"/>
      </w:r>
      <w:r>
        <w:t>17</w:t>
      </w:r>
      <w:r>
        <w:fldChar w:fldCharType="end"/>
      </w:r>
      <w:r>
        <w:rPr>
          <w:rFonts w:eastAsia="仿宋"/>
          <w:color w:val="auto"/>
          <w:highlight w:val="none"/>
        </w:rPr>
        <w:fldChar w:fldCharType="end"/>
      </w:r>
    </w:p>
    <w:p w14:paraId="21E9E8D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_Toc29150 </w:instrText>
      </w:r>
      <w:r>
        <w:rPr>
          <w:rFonts w:eastAsia="仿宋"/>
          <w:highlight w:val="none"/>
        </w:rPr>
        <w:fldChar w:fldCharType="separate"/>
      </w:r>
      <w:r>
        <w:rPr>
          <w:rFonts w:hint="eastAsia" w:ascii="宋体" w:hAnsi="宋体" w:eastAsia="宋体" w:cs="宋体"/>
          <w:szCs w:val="36"/>
          <w:highlight w:val="none"/>
        </w:rPr>
        <w:t>五、开标与评标</w:t>
      </w:r>
      <w:r>
        <w:tab/>
      </w:r>
      <w:r>
        <w:fldChar w:fldCharType="begin"/>
      </w:r>
      <w:r>
        <w:instrText xml:space="preserve"> PAGEREF _Toc29150 \h </w:instrText>
      </w:r>
      <w:r>
        <w:fldChar w:fldCharType="separate"/>
      </w:r>
      <w:r>
        <w:t>17</w:t>
      </w:r>
      <w:r>
        <w:fldChar w:fldCharType="end"/>
      </w:r>
      <w:r>
        <w:rPr>
          <w:rFonts w:eastAsia="仿宋"/>
          <w:color w:val="auto"/>
          <w:highlight w:val="none"/>
        </w:rPr>
        <w:fldChar w:fldCharType="end"/>
      </w:r>
    </w:p>
    <w:p w14:paraId="669EEC9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_Toc6710 </w:instrText>
      </w:r>
      <w:r>
        <w:rPr>
          <w:rFonts w:eastAsia="仿宋"/>
          <w:highlight w:val="none"/>
        </w:rPr>
        <w:fldChar w:fldCharType="separate"/>
      </w:r>
      <w:r>
        <w:rPr>
          <w:rFonts w:hint="eastAsia" w:ascii="宋体" w:hAnsi="宋体" w:eastAsia="宋体"/>
          <w:szCs w:val="24"/>
        </w:rPr>
        <w:t xml:space="preserve">21. </w:t>
      </w:r>
      <w:r>
        <w:rPr>
          <w:rFonts w:hint="eastAsia" w:ascii="宋体" w:hAnsi="宋体" w:eastAsia="宋体"/>
          <w:szCs w:val="24"/>
          <w:highlight w:val="none"/>
        </w:rPr>
        <w:t>开标</w:t>
      </w:r>
      <w:r>
        <w:tab/>
      </w:r>
      <w:r>
        <w:fldChar w:fldCharType="begin"/>
      </w:r>
      <w:r>
        <w:instrText xml:space="preserve"> PAGEREF _Toc6710 \h </w:instrText>
      </w:r>
      <w:r>
        <w:fldChar w:fldCharType="separate"/>
      </w:r>
      <w:r>
        <w:t>17</w:t>
      </w:r>
      <w:r>
        <w:fldChar w:fldCharType="end"/>
      </w:r>
      <w:r>
        <w:rPr>
          <w:rFonts w:eastAsia="仿宋"/>
          <w:color w:val="auto"/>
          <w:highlight w:val="none"/>
        </w:rPr>
        <w:fldChar w:fldCharType="end"/>
      </w:r>
    </w:p>
    <w:p w14:paraId="244F044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_Toc31923 </w:instrText>
      </w:r>
      <w:r>
        <w:rPr>
          <w:rFonts w:eastAsia="仿宋"/>
          <w:highlight w:val="none"/>
        </w:rPr>
        <w:fldChar w:fldCharType="separate"/>
      </w:r>
      <w:r>
        <w:rPr>
          <w:rFonts w:hint="eastAsia" w:ascii="宋体" w:hAnsi="宋体" w:eastAsia="宋体"/>
          <w:szCs w:val="24"/>
        </w:rPr>
        <w:t xml:space="preserve">22. </w:t>
      </w:r>
      <w:r>
        <w:rPr>
          <w:rFonts w:hint="eastAsia" w:ascii="宋体" w:hAnsi="宋体" w:eastAsia="宋体"/>
          <w:szCs w:val="24"/>
          <w:highlight w:val="none"/>
        </w:rPr>
        <w:t>评标</w:t>
      </w:r>
      <w:r>
        <w:tab/>
      </w:r>
      <w:r>
        <w:fldChar w:fldCharType="begin"/>
      </w:r>
      <w:r>
        <w:instrText xml:space="preserve"> PAGEREF _Toc31923 \h </w:instrText>
      </w:r>
      <w:r>
        <w:fldChar w:fldCharType="separate"/>
      </w:r>
      <w:r>
        <w:t>18</w:t>
      </w:r>
      <w:r>
        <w:fldChar w:fldCharType="end"/>
      </w:r>
      <w:r>
        <w:rPr>
          <w:rFonts w:eastAsia="仿宋"/>
          <w:color w:val="auto"/>
          <w:highlight w:val="none"/>
        </w:rPr>
        <w:fldChar w:fldCharType="end"/>
      </w:r>
    </w:p>
    <w:p w14:paraId="442D9DE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_Toc15838 </w:instrText>
      </w:r>
      <w:r>
        <w:rPr>
          <w:rFonts w:eastAsia="仿宋"/>
          <w:highlight w:val="none"/>
        </w:rPr>
        <w:fldChar w:fldCharType="separate"/>
      </w:r>
      <w:r>
        <w:rPr>
          <w:rFonts w:hint="eastAsia" w:ascii="宋体" w:hAnsi="宋体" w:eastAsia="宋体"/>
          <w:szCs w:val="24"/>
        </w:rPr>
        <w:t xml:space="preserve">23. </w:t>
      </w:r>
      <w:r>
        <w:rPr>
          <w:rFonts w:hint="eastAsia" w:ascii="宋体" w:hAnsi="宋体" w:eastAsia="宋体"/>
          <w:szCs w:val="24"/>
          <w:highlight w:val="none"/>
        </w:rPr>
        <w:t>评标过程的保密</w:t>
      </w:r>
      <w:r>
        <w:tab/>
      </w:r>
      <w:r>
        <w:fldChar w:fldCharType="begin"/>
      </w:r>
      <w:r>
        <w:instrText xml:space="preserve"> PAGEREF _Toc15838 \h </w:instrText>
      </w:r>
      <w:r>
        <w:fldChar w:fldCharType="separate"/>
      </w:r>
      <w:r>
        <w:t>18</w:t>
      </w:r>
      <w:r>
        <w:fldChar w:fldCharType="end"/>
      </w:r>
      <w:r>
        <w:rPr>
          <w:rFonts w:eastAsia="仿宋"/>
          <w:color w:val="auto"/>
          <w:highlight w:val="none"/>
        </w:rPr>
        <w:fldChar w:fldCharType="end"/>
      </w:r>
    </w:p>
    <w:p w14:paraId="4979489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_Toc3818 </w:instrText>
      </w:r>
      <w:r>
        <w:rPr>
          <w:rFonts w:eastAsia="仿宋"/>
          <w:highlight w:val="none"/>
        </w:rPr>
        <w:fldChar w:fldCharType="separate"/>
      </w:r>
      <w:r>
        <w:rPr>
          <w:rFonts w:hint="eastAsia" w:ascii="宋体" w:hAnsi="宋体" w:eastAsia="宋体"/>
          <w:szCs w:val="24"/>
        </w:rPr>
        <w:t xml:space="preserve">24. </w:t>
      </w:r>
      <w:r>
        <w:rPr>
          <w:rFonts w:hint="eastAsia" w:ascii="宋体" w:hAnsi="宋体" w:eastAsia="宋体"/>
          <w:szCs w:val="24"/>
          <w:highlight w:val="none"/>
        </w:rPr>
        <w:t>在招标采购中，出现下列情形之一的，应予废标</w:t>
      </w:r>
      <w:r>
        <w:tab/>
      </w:r>
      <w:r>
        <w:fldChar w:fldCharType="begin"/>
      </w:r>
      <w:r>
        <w:instrText xml:space="preserve"> PAGEREF _Toc3818 \h </w:instrText>
      </w:r>
      <w:r>
        <w:fldChar w:fldCharType="separate"/>
      </w:r>
      <w:r>
        <w:t>18</w:t>
      </w:r>
      <w:r>
        <w:fldChar w:fldCharType="end"/>
      </w:r>
      <w:r>
        <w:rPr>
          <w:rFonts w:eastAsia="仿宋"/>
          <w:color w:val="auto"/>
          <w:highlight w:val="none"/>
        </w:rPr>
        <w:fldChar w:fldCharType="end"/>
      </w:r>
    </w:p>
    <w:p w14:paraId="54243932">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_Toc13005 </w:instrText>
      </w:r>
      <w:r>
        <w:rPr>
          <w:rFonts w:eastAsia="仿宋"/>
          <w:highlight w:val="none"/>
        </w:rPr>
        <w:fldChar w:fldCharType="separate"/>
      </w:r>
      <w:r>
        <w:rPr>
          <w:rFonts w:hint="eastAsia" w:ascii="宋体" w:hAnsi="宋体" w:eastAsia="宋体" w:cs="宋体"/>
          <w:szCs w:val="36"/>
          <w:highlight w:val="none"/>
        </w:rPr>
        <w:t>六、中标结果</w:t>
      </w:r>
      <w:r>
        <w:tab/>
      </w:r>
      <w:r>
        <w:fldChar w:fldCharType="begin"/>
      </w:r>
      <w:r>
        <w:instrText xml:space="preserve"> PAGEREF _Toc13005 \h </w:instrText>
      </w:r>
      <w:r>
        <w:fldChar w:fldCharType="separate"/>
      </w:r>
      <w:r>
        <w:t>18</w:t>
      </w:r>
      <w:r>
        <w:fldChar w:fldCharType="end"/>
      </w:r>
      <w:r>
        <w:rPr>
          <w:rFonts w:eastAsia="仿宋"/>
          <w:color w:val="auto"/>
          <w:highlight w:val="none"/>
        </w:rPr>
        <w:fldChar w:fldCharType="end"/>
      </w:r>
    </w:p>
    <w:p w14:paraId="1D9A47B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_Toc17405 </w:instrText>
      </w:r>
      <w:r>
        <w:rPr>
          <w:rFonts w:eastAsia="仿宋"/>
          <w:highlight w:val="none"/>
        </w:rPr>
        <w:fldChar w:fldCharType="separate"/>
      </w:r>
      <w:r>
        <w:rPr>
          <w:rFonts w:hint="eastAsia" w:ascii="宋体" w:hAnsi="宋体" w:eastAsia="宋体"/>
          <w:szCs w:val="24"/>
        </w:rPr>
        <w:t xml:space="preserve">25. </w:t>
      </w:r>
      <w:r>
        <w:rPr>
          <w:rFonts w:hint="eastAsia" w:ascii="宋体" w:hAnsi="宋体" w:eastAsia="宋体"/>
          <w:szCs w:val="24"/>
          <w:highlight w:val="none"/>
        </w:rPr>
        <w:t>中标人的确定</w:t>
      </w:r>
      <w:r>
        <w:tab/>
      </w:r>
      <w:r>
        <w:fldChar w:fldCharType="begin"/>
      </w:r>
      <w:r>
        <w:instrText xml:space="preserve"> PAGEREF _Toc17405 \h </w:instrText>
      </w:r>
      <w:r>
        <w:fldChar w:fldCharType="separate"/>
      </w:r>
      <w:r>
        <w:t>18</w:t>
      </w:r>
      <w:r>
        <w:fldChar w:fldCharType="end"/>
      </w:r>
      <w:r>
        <w:rPr>
          <w:rFonts w:eastAsia="仿宋"/>
          <w:color w:val="auto"/>
          <w:highlight w:val="none"/>
        </w:rPr>
        <w:fldChar w:fldCharType="end"/>
      </w:r>
    </w:p>
    <w:p w14:paraId="577D92A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_Toc5139 </w:instrText>
      </w:r>
      <w:r>
        <w:rPr>
          <w:rFonts w:eastAsia="仿宋"/>
          <w:highlight w:val="none"/>
        </w:rPr>
        <w:fldChar w:fldCharType="separate"/>
      </w:r>
      <w:r>
        <w:rPr>
          <w:rFonts w:hint="eastAsia" w:ascii="宋体" w:hAnsi="宋体" w:eastAsia="宋体"/>
          <w:szCs w:val="24"/>
        </w:rPr>
        <w:t xml:space="preserve">26. </w:t>
      </w:r>
      <w:r>
        <w:rPr>
          <w:rFonts w:hint="eastAsia" w:ascii="宋体" w:hAnsi="宋体" w:eastAsia="宋体"/>
          <w:szCs w:val="24"/>
          <w:highlight w:val="none"/>
        </w:rPr>
        <w:t>中标通知书</w:t>
      </w:r>
      <w:r>
        <w:tab/>
      </w:r>
      <w:r>
        <w:fldChar w:fldCharType="begin"/>
      </w:r>
      <w:r>
        <w:instrText xml:space="preserve"> PAGEREF _Toc5139 \h </w:instrText>
      </w:r>
      <w:r>
        <w:fldChar w:fldCharType="separate"/>
      </w:r>
      <w:r>
        <w:t>18</w:t>
      </w:r>
      <w:r>
        <w:fldChar w:fldCharType="end"/>
      </w:r>
      <w:r>
        <w:rPr>
          <w:rFonts w:eastAsia="仿宋"/>
          <w:color w:val="auto"/>
          <w:highlight w:val="none"/>
        </w:rPr>
        <w:fldChar w:fldCharType="end"/>
      </w:r>
    </w:p>
    <w:p w14:paraId="362ACEF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_Toc27218 </w:instrText>
      </w:r>
      <w:r>
        <w:rPr>
          <w:rFonts w:eastAsia="仿宋"/>
          <w:highlight w:val="none"/>
        </w:rPr>
        <w:fldChar w:fldCharType="separate"/>
      </w:r>
      <w:r>
        <w:rPr>
          <w:rFonts w:hint="eastAsia" w:ascii="宋体" w:hAnsi="宋体" w:eastAsia="宋体"/>
          <w:szCs w:val="24"/>
        </w:rPr>
        <w:t xml:space="preserve">27. </w:t>
      </w:r>
      <w:r>
        <w:rPr>
          <w:rFonts w:hint="eastAsia" w:ascii="宋体" w:hAnsi="宋体" w:eastAsia="宋体"/>
          <w:szCs w:val="24"/>
          <w:highlight w:val="none"/>
        </w:rPr>
        <w:t>签订合同（实质性要求）</w:t>
      </w:r>
      <w:r>
        <w:tab/>
      </w:r>
      <w:r>
        <w:fldChar w:fldCharType="begin"/>
      </w:r>
      <w:r>
        <w:instrText xml:space="preserve"> PAGEREF _Toc27218 \h </w:instrText>
      </w:r>
      <w:r>
        <w:fldChar w:fldCharType="separate"/>
      </w:r>
      <w:r>
        <w:t>19</w:t>
      </w:r>
      <w:r>
        <w:fldChar w:fldCharType="end"/>
      </w:r>
      <w:r>
        <w:rPr>
          <w:rFonts w:eastAsia="仿宋"/>
          <w:color w:val="auto"/>
          <w:highlight w:val="none"/>
        </w:rPr>
        <w:fldChar w:fldCharType="end"/>
      </w:r>
    </w:p>
    <w:p w14:paraId="33E7701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_Toc24519 </w:instrText>
      </w:r>
      <w:r>
        <w:rPr>
          <w:rFonts w:eastAsia="仿宋"/>
          <w:highlight w:val="none"/>
        </w:rPr>
        <w:fldChar w:fldCharType="separate"/>
      </w:r>
      <w:r>
        <w:rPr>
          <w:rFonts w:hint="eastAsia" w:ascii="宋体" w:hAnsi="宋体" w:eastAsia="宋体"/>
          <w:szCs w:val="24"/>
        </w:rPr>
        <w:t xml:space="preserve">28. </w:t>
      </w:r>
      <w:r>
        <w:rPr>
          <w:rFonts w:hint="eastAsia" w:ascii="宋体" w:hAnsi="宋体" w:eastAsia="宋体"/>
          <w:szCs w:val="24"/>
          <w:highlight w:val="none"/>
        </w:rPr>
        <w:t>合同分包（实质性要求）</w:t>
      </w:r>
      <w:r>
        <w:tab/>
      </w:r>
      <w:r>
        <w:fldChar w:fldCharType="begin"/>
      </w:r>
      <w:r>
        <w:instrText xml:space="preserve"> PAGEREF _Toc24519 \h </w:instrText>
      </w:r>
      <w:r>
        <w:fldChar w:fldCharType="separate"/>
      </w:r>
      <w:r>
        <w:t>19</w:t>
      </w:r>
      <w:r>
        <w:fldChar w:fldCharType="end"/>
      </w:r>
      <w:r>
        <w:rPr>
          <w:rFonts w:eastAsia="仿宋"/>
          <w:color w:val="auto"/>
          <w:highlight w:val="none"/>
        </w:rPr>
        <w:fldChar w:fldCharType="end"/>
      </w:r>
    </w:p>
    <w:p w14:paraId="2E6225E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_Toc29632 </w:instrText>
      </w:r>
      <w:r>
        <w:rPr>
          <w:rFonts w:eastAsia="仿宋"/>
          <w:highlight w:val="none"/>
        </w:rPr>
        <w:fldChar w:fldCharType="separate"/>
      </w:r>
      <w:r>
        <w:rPr>
          <w:rFonts w:hint="eastAsia" w:ascii="宋体" w:hAnsi="宋体" w:eastAsia="宋体"/>
          <w:szCs w:val="24"/>
        </w:rPr>
        <w:t xml:space="preserve">29. </w:t>
      </w:r>
      <w:r>
        <w:rPr>
          <w:rFonts w:hint="eastAsia" w:ascii="宋体" w:hAnsi="宋体" w:eastAsia="宋体"/>
          <w:szCs w:val="24"/>
          <w:highlight w:val="none"/>
        </w:rPr>
        <w:t>禁止合同转包</w:t>
      </w:r>
      <w:r>
        <w:tab/>
      </w:r>
      <w:r>
        <w:fldChar w:fldCharType="begin"/>
      </w:r>
      <w:r>
        <w:instrText xml:space="preserve"> PAGEREF _Toc29632 \h </w:instrText>
      </w:r>
      <w:r>
        <w:fldChar w:fldCharType="separate"/>
      </w:r>
      <w:r>
        <w:t>19</w:t>
      </w:r>
      <w:r>
        <w:fldChar w:fldCharType="end"/>
      </w:r>
      <w:r>
        <w:rPr>
          <w:rFonts w:eastAsia="仿宋"/>
          <w:color w:val="auto"/>
          <w:highlight w:val="none"/>
        </w:rPr>
        <w:fldChar w:fldCharType="end"/>
      </w:r>
    </w:p>
    <w:p w14:paraId="6660E93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_Toc1020 </w:instrText>
      </w:r>
      <w:r>
        <w:rPr>
          <w:rFonts w:eastAsia="仿宋"/>
          <w:highlight w:val="none"/>
        </w:rPr>
        <w:fldChar w:fldCharType="separate"/>
      </w:r>
      <w:r>
        <w:rPr>
          <w:rFonts w:hint="eastAsia" w:ascii="宋体" w:hAnsi="宋体" w:eastAsia="宋体"/>
          <w:szCs w:val="24"/>
        </w:rPr>
        <w:t xml:space="preserve">30. </w:t>
      </w:r>
      <w:r>
        <w:rPr>
          <w:rFonts w:hint="eastAsia" w:ascii="宋体" w:hAnsi="宋体" w:eastAsia="宋体"/>
          <w:szCs w:val="24"/>
          <w:highlight w:val="none"/>
        </w:rPr>
        <w:t>补充合同</w:t>
      </w:r>
      <w:r>
        <w:tab/>
      </w:r>
      <w:r>
        <w:fldChar w:fldCharType="begin"/>
      </w:r>
      <w:r>
        <w:instrText xml:space="preserve"> PAGEREF _Toc1020 \h </w:instrText>
      </w:r>
      <w:r>
        <w:fldChar w:fldCharType="separate"/>
      </w:r>
      <w:r>
        <w:t>19</w:t>
      </w:r>
      <w:r>
        <w:fldChar w:fldCharType="end"/>
      </w:r>
      <w:r>
        <w:rPr>
          <w:rFonts w:eastAsia="仿宋"/>
          <w:color w:val="auto"/>
          <w:highlight w:val="none"/>
        </w:rPr>
        <w:fldChar w:fldCharType="end"/>
      </w:r>
    </w:p>
    <w:p w14:paraId="130CBAA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_Toc13124 </w:instrText>
      </w:r>
      <w:r>
        <w:rPr>
          <w:rFonts w:eastAsia="仿宋"/>
          <w:highlight w:val="none"/>
        </w:rPr>
        <w:fldChar w:fldCharType="separate"/>
      </w:r>
      <w:r>
        <w:rPr>
          <w:rFonts w:hint="eastAsia" w:ascii="宋体" w:hAnsi="宋体" w:eastAsia="宋体"/>
          <w:szCs w:val="24"/>
        </w:rPr>
        <w:t xml:space="preserve">31. </w:t>
      </w:r>
      <w:r>
        <w:rPr>
          <w:rFonts w:hint="eastAsia" w:ascii="宋体" w:hAnsi="宋体" w:eastAsia="宋体"/>
          <w:szCs w:val="24"/>
          <w:highlight w:val="none"/>
        </w:rPr>
        <w:t>履约保证金（实质性要求）</w:t>
      </w:r>
      <w:r>
        <w:tab/>
      </w:r>
      <w:r>
        <w:fldChar w:fldCharType="begin"/>
      </w:r>
      <w:r>
        <w:instrText xml:space="preserve"> PAGEREF _Toc13124 \h </w:instrText>
      </w:r>
      <w:r>
        <w:fldChar w:fldCharType="separate"/>
      </w:r>
      <w:r>
        <w:t>19</w:t>
      </w:r>
      <w:r>
        <w:fldChar w:fldCharType="end"/>
      </w:r>
      <w:r>
        <w:rPr>
          <w:rFonts w:eastAsia="仿宋"/>
          <w:color w:val="auto"/>
          <w:highlight w:val="none"/>
        </w:rPr>
        <w:fldChar w:fldCharType="end"/>
      </w:r>
    </w:p>
    <w:p w14:paraId="2601CE99">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_Toc30756 </w:instrText>
      </w:r>
      <w:r>
        <w:rPr>
          <w:rFonts w:eastAsia="仿宋"/>
          <w:highlight w:val="none"/>
        </w:rPr>
        <w:fldChar w:fldCharType="separate"/>
      </w:r>
      <w:r>
        <w:rPr>
          <w:rFonts w:hint="eastAsia" w:ascii="宋体" w:hAnsi="宋体" w:eastAsia="宋体"/>
          <w:szCs w:val="24"/>
        </w:rPr>
        <w:t xml:space="preserve">32. </w:t>
      </w:r>
      <w:r>
        <w:rPr>
          <w:rFonts w:hint="eastAsia" w:ascii="宋体" w:hAnsi="宋体" w:eastAsia="宋体"/>
          <w:szCs w:val="24"/>
          <w:highlight w:val="none"/>
        </w:rPr>
        <w:t>验收</w:t>
      </w:r>
      <w:r>
        <w:tab/>
      </w:r>
      <w:r>
        <w:fldChar w:fldCharType="begin"/>
      </w:r>
      <w:r>
        <w:instrText xml:space="preserve"> PAGEREF _Toc30756 \h </w:instrText>
      </w:r>
      <w:r>
        <w:fldChar w:fldCharType="separate"/>
      </w:r>
      <w:r>
        <w:t>20</w:t>
      </w:r>
      <w:r>
        <w:fldChar w:fldCharType="end"/>
      </w:r>
      <w:r>
        <w:rPr>
          <w:rFonts w:eastAsia="仿宋"/>
          <w:color w:val="auto"/>
          <w:highlight w:val="none"/>
        </w:rPr>
        <w:fldChar w:fldCharType="end"/>
      </w:r>
    </w:p>
    <w:p w14:paraId="4B1BBB8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_Toc6473 </w:instrText>
      </w:r>
      <w:r>
        <w:rPr>
          <w:rFonts w:eastAsia="仿宋"/>
          <w:highlight w:val="none"/>
        </w:rPr>
        <w:fldChar w:fldCharType="separate"/>
      </w:r>
      <w:r>
        <w:rPr>
          <w:rFonts w:hint="eastAsia" w:ascii="宋体" w:hAnsi="宋体" w:eastAsia="宋体" w:cs="宋体"/>
          <w:szCs w:val="36"/>
          <w:highlight w:val="none"/>
        </w:rPr>
        <w:t>七、其他事项</w:t>
      </w:r>
      <w:r>
        <w:tab/>
      </w:r>
      <w:r>
        <w:fldChar w:fldCharType="begin"/>
      </w:r>
      <w:r>
        <w:instrText xml:space="preserve"> PAGEREF _Toc6473 \h </w:instrText>
      </w:r>
      <w:r>
        <w:fldChar w:fldCharType="separate"/>
      </w:r>
      <w:r>
        <w:t>20</w:t>
      </w:r>
      <w:r>
        <w:fldChar w:fldCharType="end"/>
      </w:r>
      <w:r>
        <w:rPr>
          <w:rFonts w:eastAsia="仿宋"/>
          <w:color w:val="auto"/>
          <w:highlight w:val="none"/>
        </w:rPr>
        <w:fldChar w:fldCharType="end"/>
      </w:r>
    </w:p>
    <w:p w14:paraId="78437E5B">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_Toc28349 </w:instrText>
      </w:r>
      <w:r>
        <w:rPr>
          <w:rFonts w:eastAsia="仿宋"/>
          <w:highlight w:val="none"/>
        </w:rPr>
        <w:fldChar w:fldCharType="separate"/>
      </w:r>
      <w:r>
        <w:rPr>
          <w:rFonts w:hint="eastAsia" w:ascii="宋体" w:hAnsi="宋体" w:eastAsia="宋体"/>
          <w:szCs w:val="24"/>
        </w:rPr>
        <w:t xml:space="preserve">33. </w:t>
      </w:r>
      <w:r>
        <w:rPr>
          <w:rFonts w:hint="eastAsia" w:ascii="宋体" w:hAnsi="宋体" w:eastAsia="宋体"/>
          <w:szCs w:val="24"/>
          <w:highlight w:val="none"/>
        </w:rPr>
        <w:t>解释权</w:t>
      </w:r>
      <w:r>
        <w:tab/>
      </w:r>
      <w:r>
        <w:fldChar w:fldCharType="begin"/>
      </w:r>
      <w:r>
        <w:instrText xml:space="preserve"> PAGEREF _Toc28349 \h </w:instrText>
      </w:r>
      <w:r>
        <w:fldChar w:fldCharType="separate"/>
      </w:r>
      <w:r>
        <w:t>20</w:t>
      </w:r>
      <w:r>
        <w:fldChar w:fldCharType="end"/>
      </w:r>
      <w:r>
        <w:rPr>
          <w:rFonts w:eastAsia="仿宋"/>
          <w:color w:val="auto"/>
          <w:highlight w:val="none"/>
        </w:rPr>
        <w:fldChar w:fldCharType="end"/>
      </w:r>
    </w:p>
    <w:p w14:paraId="1B1A25F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_Toc27433 </w:instrText>
      </w:r>
      <w:r>
        <w:rPr>
          <w:rFonts w:eastAsia="仿宋"/>
          <w:highlight w:val="none"/>
        </w:rPr>
        <w:fldChar w:fldCharType="separate"/>
      </w:r>
      <w:r>
        <w:rPr>
          <w:rFonts w:hint="eastAsia" w:ascii="宋体" w:hAnsi="宋体" w:eastAsia="宋体"/>
          <w:szCs w:val="24"/>
        </w:rPr>
        <w:t xml:space="preserve">34. </w:t>
      </w:r>
      <w:r>
        <w:rPr>
          <w:rFonts w:hint="eastAsia" w:ascii="宋体" w:hAnsi="宋体" w:eastAsia="宋体"/>
          <w:szCs w:val="24"/>
          <w:highlight w:val="none"/>
        </w:rPr>
        <w:t>政府采购有关政策（实质性要求）</w:t>
      </w:r>
      <w:r>
        <w:tab/>
      </w:r>
      <w:r>
        <w:fldChar w:fldCharType="begin"/>
      </w:r>
      <w:r>
        <w:instrText xml:space="preserve"> PAGEREF _Toc27433 \h </w:instrText>
      </w:r>
      <w:r>
        <w:fldChar w:fldCharType="separate"/>
      </w:r>
      <w:r>
        <w:t>20</w:t>
      </w:r>
      <w:r>
        <w:fldChar w:fldCharType="end"/>
      </w:r>
      <w:r>
        <w:rPr>
          <w:rFonts w:eastAsia="仿宋"/>
          <w:color w:val="auto"/>
          <w:highlight w:val="none"/>
        </w:rPr>
        <w:fldChar w:fldCharType="end"/>
      </w:r>
    </w:p>
    <w:p w14:paraId="0E508C3F">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_Toc18751 </w:instrText>
      </w:r>
      <w:r>
        <w:rPr>
          <w:rFonts w:eastAsia="仿宋"/>
          <w:highlight w:val="none"/>
        </w:rPr>
        <w:fldChar w:fldCharType="separate"/>
      </w:r>
      <w:r>
        <w:rPr>
          <w:rFonts w:hint="eastAsia" w:ascii="宋体" w:hAnsi="宋体" w:eastAsia="宋体" w:cs="宋体"/>
          <w:szCs w:val="32"/>
          <w:highlight w:val="none"/>
        </w:rPr>
        <w:t>第三章  合同书样式及主要条款</w:t>
      </w:r>
      <w:r>
        <w:tab/>
      </w:r>
      <w:r>
        <w:fldChar w:fldCharType="begin"/>
      </w:r>
      <w:r>
        <w:instrText xml:space="preserve"> PAGEREF _Toc18751 \h </w:instrText>
      </w:r>
      <w:r>
        <w:fldChar w:fldCharType="separate"/>
      </w:r>
      <w:r>
        <w:t>23</w:t>
      </w:r>
      <w:r>
        <w:fldChar w:fldCharType="end"/>
      </w:r>
      <w:r>
        <w:rPr>
          <w:rFonts w:eastAsia="仿宋"/>
          <w:color w:val="auto"/>
          <w:highlight w:val="none"/>
        </w:rPr>
        <w:fldChar w:fldCharType="end"/>
      </w:r>
    </w:p>
    <w:p w14:paraId="7EB87BBD">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_Toc6106 </w:instrText>
      </w:r>
      <w:r>
        <w:rPr>
          <w:rFonts w:eastAsia="仿宋"/>
          <w:highlight w:val="none"/>
        </w:rPr>
        <w:fldChar w:fldCharType="separate"/>
      </w:r>
      <w:r>
        <w:rPr>
          <w:rFonts w:hint="eastAsia" w:ascii="宋体" w:hAnsi="宋体" w:eastAsia="宋体" w:cs="宋体"/>
          <w:szCs w:val="32"/>
          <w:highlight w:val="none"/>
        </w:rPr>
        <w:t xml:space="preserve">第四章 </w:t>
      </w:r>
      <w:r>
        <w:rPr>
          <w:rFonts w:ascii="宋体" w:hAnsi="宋体" w:eastAsia="宋体" w:cs="宋体"/>
          <w:szCs w:val="32"/>
          <w:highlight w:val="none"/>
        </w:rPr>
        <w:t xml:space="preserve"> </w:t>
      </w:r>
      <w:r>
        <w:rPr>
          <w:rFonts w:hint="eastAsia" w:ascii="宋体" w:hAnsi="宋体" w:eastAsia="宋体" w:cs="宋体"/>
          <w:szCs w:val="32"/>
          <w:highlight w:val="none"/>
        </w:rPr>
        <w:t>投标文件格式</w:t>
      </w:r>
      <w:r>
        <w:tab/>
      </w:r>
      <w:r>
        <w:fldChar w:fldCharType="begin"/>
      </w:r>
      <w:r>
        <w:instrText xml:space="preserve"> PAGEREF _Toc6106 \h </w:instrText>
      </w:r>
      <w:r>
        <w:fldChar w:fldCharType="separate"/>
      </w:r>
      <w:r>
        <w:t>30</w:t>
      </w:r>
      <w:r>
        <w:fldChar w:fldCharType="end"/>
      </w:r>
      <w:r>
        <w:rPr>
          <w:rFonts w:eastAsia="仿宋"/>
          <w:color w:val="auto"/>
          <w:highlight w:val="none"/>
        </w:rPr>
        <w:fldChar w:fldCharType="end"/>
      </w:r>
    </w:p>
    <w:p w14:paraId="2A37726D">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_Toc2212 </w:instrText>
      </w:r>
      <w:r>
        <w:rPr>
          <w:rFonts w:eastAsia="仿宋"/>
          <w:highlight w:val="none"/>
        </w:rPr>
        <w:fldChar w:fldCharType="separate"/>
      </w:r>
      <w:r>
        <w:rPr>
          <w:rFonts w:hint="eastAsia" w:eastAsia="宋体"/>
          <w:spacing w:val="20"/>
          <w:highlight w:val="none"/>
        </w:rPr>
        <w:t>一、资格审查部分</w:t>
      </w:r>
      <w:r>
        <w:tab/>
      </w:r>
      <w:r>
        <w:fldChar w:fldCharType="begin"/>
      </w:r>
      <w:r>
        <w:instrText xml:space="preserve"> PAGEREF _Toc2212 \h </w:instrText>
      </w:r>
      <w:r>
        <w:fldChar w:fldCharType="separate"/>
      </w:r>
      <w:r>
        <w:t>31</w:t>
      </w:r>
      <w:r>
        <w:fldChar w:fldCharType="end"/>
      </w:r>
      <w:r>
        <w:rPr>
          <w:rFonts w:eastAsia="仿宋"/>
          <w:color w:val="auto"/>
          <w:highlight w:val="none"/>
        </w:rPr>
        <w:fldChar w:fldCharType="end"/>
      </w:r>
    </w:p>
    <w:p w14:paraId="658B66E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_Toc6883 </w:instrText>
      </w:r>
      <w:r>
        <w:rPr>
          <w:rFonts w:eastAsia="仿宋"/>
          <w:highlight w:val="none"/>
        </w:rPr>
        <w:fldChar w:fldCharType="separate"/>
      </w:r>
      <w:r>
        <w:rPr>
          <w:rFonts w:hint="eastAsia" w:ascii="宋体" w:hAnsi="宋体" w:eastAsia="宋体"/>
          <w:szCs w:val="28"/>
          <w:highlight w:val="none"/>
        </w:rPr>
        <w:t>格式1：投标文件封面格式</w:t>
      </w:r>
      <w:r>
        <w:tab/>
      </w:r>
      <w:r>
        <w:fldChar w:fldCharType="begin"/>
      </w:r>
      <w:r>
        <w:instrText xml:space="preserve"> PAGEREF _Toc6883 \h </w:instrText>
      </w:r>
      <w:r>
        <w:fldChar w:fldCharType="separate"/>
      </w:r>
      <w:r>
        <w:t>32</w:t>
      </w:r>
      <w:r>
        <w:fldChar w:fldCharType="end"/>
      </w:r>
      <w:r>
        <w:rPr>
          <w:rFonts w:eastAsia="仿宋"/>
          <w:color w:val="auto"/>
          <w:highlight w:val="none"/>
        </w:rPr>
        <w:fldChar w:fldCharType="end"/>
      </w:r>
    </w:p>
    <w:p w14:paraId="7BF76C43">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_Toc1792 </w:instrText>
      </w:r>
      <w:r>
        <w:rPr>
          <w:rFonts w:eastAsia="仿宋"/>
          <w:highlight w:val="none"/>
        </w:rPr>
        <w:fldChar w:fldCharType="separate"/>
      </w:r>
      <w:r>
        <w:rPr>
          <w:rFonts w:hint="eastAsia" w:ascii="宋体" w:hAnsi="宋体" w:eastAsia="宋体"/>
          <w:szCs w:val="28"/>
          <w:highlight w:val="none"/>
        </w:rPr>
        <w:t>格式2：投标人信息表</w:t>
      </w:r>
      <w:r>
        <w:tab/>
      </w:r>
      <w:r>
        <w:fldChar w:fldCharType="begin"/>
      </w:r>
      <w:r>
        <w:instrText xml:space="preserve"> PAGEREF _Toc1792 \h </w:instrText>
      </w:r>
      <w:r>
        <w:fldChar w:fldCharType="separate"/>
      </w:r>
      <w:r>
        <w:t>33</w:t>
      </w:r>
      <w:r>
        <w:fldChar w:fldCharType="end"/>
      </w:r>
      <w:r>
        <w:rPr>
          <w:rFonts w:eastAsia="仿宋"/>
          <w:color w:val="auto"/>
          <w:highlight w:val="none"/>
        </w:rPr>
        <w:fldChar w:fldCharType="end"/>
      </w:r>
    </w:p>
    <w:p w14:paraId="71955EC1">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_Toc10248 </w:instrText>
      </w:r>
      <w:r>
        <w:rPr>
          <w:rFonts w:eastAsia="仿宋"/>
          <w:highlight w:val="none"/>
        </w:rPr>
        <w:fldChar w:fldCharType="separate"/>
      </w:r>
      <w:r>
        <w:rPr>
          <w:rFonts w:hint="eastAsia" w:eastAsia="宋体"/>
          <w:spacing w:val="20"/>
          <w:highlight w:val="none"/>
        </w:rPr>
        <w:t>二、技术部分</w:t>
      </w:r>
      <w:r>
        <w:tab/>
      </w:r>
      <w:r>
        <w:fldChar w:fldCharType="begin"/>
      </w:r>
      <w:r>
        <w:instrText xml:space="preserve"> PAGEREF _Toc10248 \h </w:instrText>
      </w:r>
      <w:r>
        <w:fldChar w:fldCharType="separate"/>
      </w:r>
      <w:r>
        <w:t>34</w:t>
      </w:r>
      <w:r>
        <w:fldChar w:fldCharType="end"/>
      </w:r>
      <w:r>
        <w:rPr>
          <w:rFonts w:eastAsia="仿宋"/>
          <w:color w:val="auto"/>
          <w:highlight w:val="none"/>
        </w:rPr>
        <w:fldChar w:fldCharType="end"/>
      </w:r>
    </w:p>
    <w:p w14:paraId="1326D17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_Toc27394 </w:instrText>
      </w:r>
      <w:r>
        <w:rPr>
          <w:rFonts w:eastAsia="仿宋"/>
          <w:highlight w:val="none"/>
        </w:rPr>
        <w:fldChar w:fldCharType="separate"/>
      </w:r>
      <w:r>
        <w:rPr>
          <w:rFonts w:hint="eastAsia" w:ascii="宋体" w:hAnsi="宋体" w:eastAsia="宋体"/>
          <w:szCs w:val="28"/>
          <w:highlight w:val="none"/>
        </w:rPr>
        <w:t>格式3：技术响应偏离表</w:t>
      </w:r>
      <w:r>
        <w:tab/>
      </w:r>
      <w:r>
        <w:fldChar w:fldCharType="begin"/>
      </w:r>
      <w:r>
        <w:instrText xml:space="preserve"> PAGEREF _Toc27394 \h </w:instrText>
      </w:r>
      <w:r>
        <w:fldChar w:fldCharType="separate"/>
      </w:r>
      <w:r>
        <w:t>35</w:t>
      </w:r>
      <w:r>
        <w:fldChar w:fldCharType="end"/>
      </w:r>
      <w:r>
        <w:rPr>
          <w:rFonts w:eastAsia="仿宋"/>
          <w:color w:val="auto"/>
          <w:highlight w:val="none"/>
        </w:rPr>
        <w:fldChar w:fldCharType="end"/>
      </w:r>
    </w:p>
    <w:p w14:paraId="2C23421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_Toc27987 </w:instrText>
      </w:r>
      <w:r>
        <w:rPr>
          <w:rFonts w:eastAsia="仿宋"/>
          <w:highlight w:val="none"/>
        </w:rPr>
        <w:fldChar w:fldCharType="separate"/>
      </w:r>
      <w:r>
        <w:rPr>
          <w:rFonts w:hint="eastAsia" w:ascii="宋体" w:hAnsi="宋体" w:eastAsia="宋体"/>
          <w:szCs w:val="28"/>
          <w:highlight w:val="none"/>
        </w:rPr>
        <w:t>格式4：项目实施方案</w:t>
      </w:r>
      <w:r>
        <w:tab/>
      </w:r>
      <w:r>
        <w:fldChar w:fldCharType="begin"/>
      </w:r>
      <w:r>
        <w:instrText xml:space="preserve"> PAGEREF _Toc27987 \h </w:instrText>
      </w:r>
      <w:r>
        <w:fldChar w:fldCharType="separate"/>
      </w:r>
      <w:r>
        <w:t>36</w:t>
      </w:r>
      <w:r>
        <w:fldChar w:fldCharType="end"/>
      </w:r>
      <w:r>
        <w:rPr>
          <w:rFonts w:eastAsia="仿宋"/>
          <w:color w:val="auto"/>
          <w:highlight w:val="none"/>
        </w:rPr>
        <w:fldChar w:fldCharType="end"/>
      </w:r>
    </w:p>
    <w:p w14:paraId="65DC5DF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_Toc3156 </w:instrText>
      </w:r>
      <w:r>
        <w:rPr>
          <w:rFonts w:eastAsia="仿宋"/>
          <w:highlight w:val="none"/>
        </w:rPr>
        <w:fldChar w:fldCharType="separate"/>
      </w:r>
      <w:r>
        <w:rPr>
          <w:rFonts w:hint="eastAsia" w:ascii="宋体" w:hAnsi="宋体" w:eastAsia="宋体"/>
          <w:szCs w:val="28"/>
          <w:highlight w:val="none"/>
        </w:rPr>
        <w:t>格式5：质量保证及承诺</w:t>
      </w:r>
      <w:r>
        <w:tab/>
      </w:r>
      <w:r>
        <w:fldChar w:fldCharType="begin"/>
      </w:r>
      <w:r>
        <w:instrText xml:space="preserve"> PAGEREF _Toc3156 \h </w:instrText>
      </w:r>
      <w:r>
        <w:fldChar w:fldCharType="separate"/>
      </w:r>
      <w:r>
        <w:t>37</w:t>
      </w:r>
      <w:r>
        <w:fldChar w:fldCharType="end"/>
      </w:r>
      <w:r>
        <w:rPr>
          <w:rFonts w:eastAsia="仿宋"/>
          <w:color w:val="auto"/>
          <w:highlight w:val="none"/>
        </w:rPr>
        <w:fldChar w:fldCharType="end"/>
      </w:r>
    </w:p>
    <w:p w14:paraId="7F371D0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_Toc26210 </w:instrText>
      </w:r>
      <w:r>
        <w:rPr>
          <w:rFonts w:eastAsia="仿宋"/>
          <w:highlight w:val="none"/>
        </w:rPr>
        <w:fldChar w:fldCharType="separate"/>
      </w:r>
      <w:r>
        <w:rPr>
          <w:rFonts w:hint="eastAsia" w:ascii="宋体" w:hAnsi="宋体" w:eastAsia="宋体"/>
          <w:szCs w:val="28"/>
          <w:highlight w:val="none"/>
        </w:rPr>
        <w:t>格式6：售后服务</w:t>
      </w:r>
      <w:r>
        <w:tab/>
      </w:r>
      <w:r>
        <w:fldChar w:fldCharType="begin"/>
      </w:r>
      <w:r>
        <w:instrText xml:space="preserve"> PAGEREF _Toc26210 \h </w:instrText>
      </w:r>
      <w:r>
        <w:fldChar w:fldCharType="separate"/>
      </w:r>
      <w:r>
        <w:t>38</w:t>
      </w:r>
      <w:r>
        <w:fldChar w:fldCharType="end"/>
      </w:r>
      <w:r>
        <w:rPr>
          <w:rFonts w:eastAsia="仿宋"/>
          <w:color w:val="auto"/>
          <w:highlight w:val="none"/>
        </w:rPr>
        <w:fldChar w:fldCharType="end"/>
      </w:r>
    </w:p>
    <w:p w14:paraId="79907469">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_Toc30777 </w:instrText>
      </w:r>
      <w:r>
        <w:rPr>
          <w:rFonts w:eastAsia="仿宋"/>
          <w:highlight w:val="none"/>
        </w:rPr>
        <w:fldChar w:fldCharType="separate"/>
      </w:r>
      <w:r>
        <w:rPr>
          <w:rFonts w:hint="eastAsia" w:eastAsia="宋体"/>
          <w:spacing w:val="20"/>
          <w:highlight w:val="none"/>
        </w:rPr>
        <w:t>三、商务部分</w:t>
      </w:r>
      <w:r>
        <w:tab/>
      </w:r>
      <w:r>
        <w:fldChar w:fldCharType="begin"/>
      </w:r>
      <w:r>
        <w:instrText xml:space="preserve"> PAGEREF _Toc30777 \h </w:instrText>
      </w:r>
      <w:r>
        <w:fldChar w:fldCharType="separate"/>
      </w:r>
      <w:r>
        <w:t>39</w:t>
      </w:r>
      <w:r>
        <w:fldChar w:fldCharType="end"/>
      </w:r>
      <w:r>
        <w:rPr>
          <w:rFonts w:eastAsia="仿宋"/>
          <w:color w:val="auto"/>
          <w:highlight w:val="none"/>
        </w:rPr>
        <w:fldChar w:fldCharType="end"/>
      </w:r>
    </w:p>
    <w:p w14:paraId="57FD4FE5">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_Toc21279 </w:instrText>
      </w:r>
      <w:r>
        <w:rPr>
          <w:rFonts w:eastAsia="仿宋"/>
          <w:highlight w:val="none"/>
        </w:rPr>
        <w:fldChar w:fldCharType="separate"/>
      </w:r>
      <w:r>
        <w:rPr>
          <w:rFonts w:hint="eastAsia" w:ascii="宋体" w:hAnsi="宋体" w:eastAsia="宋体"/>
          <w:szCs w:val="28"/>
          <w:highlight w:val="none"/>
        </w:rPr>
        <w:t>格式7：开标（唱标）一览表</w:t>
      </w:r>
      <w:r>
        <w:tab/>
      </w:r>
      <w:r>
        <w:fldChar w:fldCharType="begin"/>
      </w:r>
      <w:r>
        <w:instrText xml:space="preserve"> PAGEREF _Toc21279 \h </w:instrText>
      </w:r>
      <w:r>
        <w:fldChar w:fldCharType="separate"/>
      </w:r>
      <w:r>
        <w:t>40</w:t>
      </w:r>
      <w:r>
        <w:fldChar w:fldCharType="end"/>
      </w:r>
      <w:r>
        <w:rPr>
          <w:rFonts w:eastAsia="仿宋"/>
          <w:color w:val="auto"/>
          <w:highlight w:val="none"/>
        </w:rPr>
        <w:fldChar w:fldCharType="end"/>
      </w:r>
    </w:p>
    <w:p w14:paraId="2F218C6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_Toc32730 </w:instrText>
      </w:r>
      <w:r>
        <w:rPr>
          <w:rFonts w:eastAsia="仿宋"/>
          <w:highlight w:val="none"/>
        </w:rPr>
        <w:fldChar w:fldCharType="separate"/>
      </w:r>
      <w:r>
        <w:rPr>
          <w:rFonts w:hint="eastAsia" w:ascii="宋体" w:hAnsi="宋体" w:eastAsia="宋体"/>
          <w:szCs w:val="28"/>
          <w:highlight w:val="none"/>
        </w:rPr>
        <w:t>格式8：投标分项报价一览表</w:t>
      </w:r>
      <w:r>
        <w:tab/>
      </w:r>
      <w:r>
        <w:fldChar w:fldCharType="begin"/>
      </w:r>
      <w:r>
        <w:instrText xml:space="preserve"> PAGEREF _Toc32730 \h </w:instrText>
      </w:r>
      <w:r>
        <w:fldChar w:fldCharType="separate"/>
      </w:r>
      <w:r>
        <w:t>41</w:t>
      </w:r>
      <w:r>
        <w:fldChar w:fldCharType="end"/>
      </w:r>
      <w:r>
        <w:rPr>
          <w:rFonts w:eastAsia="仿宋"/>
          <w:color w:val="auto"/>
          <w:highlight w:val="none"/>
        </w:rPr>
        <w:fldChar w:fldCharType="end"/>
      </w:r>
    </w:p>
    <w:p w14:paraId="59F48FB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_Toc13651 </w:instrText>
      </w:r>
      <w:r>
        <w:rPr>
          <w:rFonts w:eastAsia="仿宋"/>
          <w:highlight w:val="none"/>
        </w:rPr>
        <w:fldChar w:fldCharType="separate"/>
      </w:r>
      <w:r>
        <w:rPr>
          <w:rFonts w:hint="eastAsia" w:ascii="宋体" w:hAnsi="宋体" w:eastAsia="宋体"/>
          <w:szCs w:val="28"/>
          <w:highlight w:val="none"/>
        </w:rPr>
        <w:t>格式9：投标函</w:t>
      </w:r>
      <w:r>
        <w:tab/>
      </w:r>
      <w:r>
        <w:fldChar w:fldCharType="begin"/>
      </w:r>
      <w:r>
        <w:instrText xml:space="preserve"> PAGEREF _Toc13651 \h </w:instrText>
      </w:r>
      <w:r>
        <w:fldChar w:fldCharType="separate"/>
      </w:r>
      <w:r>
        <w:t>42</w:t>
      </w:r>
      <w:r>
        <w:fldChar w:fldCharType="end"/>
      </w:r>
      <w:r>
        <w:rPr>
          <w:rFonts w:eastAsia="仿宋"/>
          <w:color w:val="auto"/>
          <w:highlight w:val="none"/>
        </w:rPr>
        <w:fldChar w:fldCharType="end"/>
      </w:r>
    </w:p>
    <w:p w14:paraId="0E81116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_Toc17943 </w:instrText>
      </w:r>
      <w:r>
        <w:rPr>
          <w:rFonts w:eastAsia="仿宋"/>
          <w:highlight w:val="none"/>
        </w:rPr>
        <w:fldChar w:fldCharType="separate"/>
      </w:r>
      <w:r>
        <w:rPr>
          <w:rFonts w:hint="eastAsia" w:ascii="宋体" w:hAnsi="宋体" w:eastAsia="宋体"/>
          <w:szCs w:val="28"/>
          <w:highlight w:val="none"/>
        </w:rPr>
        <w:t>投标函附录</w:t>
      </w:r>
      <w:r>
        <w:tab/>
      </w:r>
      <w:r>
        <w:fldChar w:fldCharType="begin"/>
      </w:r>
      <w:r>
        <w:instrText xml:space="preserve"> PAGEREF _Toc17943 \h </w:instrText>
      </w:r>
      <w:r>
        <w:fldChar w:fldCharType="separate"/>
      </w:r>
      <w:r>
        <w:t>44</w:t>
      </w:r>
      <w:r>
        <w:fldChar w:fldCharType="end"/>
      </w:r>
      <w:r>
        <w:rPr>
          <w:rFonts w:eastAsia="仿宋"/>
          <w:color w:val="auto"/>
          <w:highlight w:val="none"/>
        </w:rPr>
        <w:fldChar w:fldCharType="end"/>
      </w:r>
    </w:p>
    <w:p w14:paraId="760435D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_Toc5042 </w:instrText>
      </w:r>
      <w:r>
        <w:rPr>
          <w:rFonts w:eastAsia="仿宋"/>
          <w:highlight w:val="none"/>
        </w:rPr>
        <w:fldChar w:fldCharType="separate"/>
      </w:r>
      <w:r>
        <w:rPr>
          <w:rFonts w:hint="eastAsia" w:ascii="宋体" w:hAnsi="宋体" w:eastAsia="宋体"/>
          <w:szCs w:val="28"/>
          <w:highlight w:val="none"/>
        </w:rPr>
        <w:t>格式10：法定代表人身份证明书</w:t>
      </w:r>
      <w:r>
        <w:tab/>
      </w:r>
      <w:r>
        <w:fldChar w:fldCharType="begin"/>
      </w:r>
      <w:r>
        <w:instrText xml:space="preserve"> PAGEREF _Toc5042 \h </w:instrText>
      </w:r>
      <w:r>
        <w:fldChar w:fldCharType="separate"/>
      </w:r>
      <w:r>
        <w:t>45</w:t>
      </w:r>
      <w:r>
        <w:fldChar w:fldCharType="end"/>
      </w:r>
      <w:r>
        <w:rPr>
          <w:rFonts w:eastAsia="仿宋"/>
          <w:color w:val="auto"/>
          <w:highlight w:val="none"/>
        </w:rPr>
        <w:fldChar w:fldCharType="end"/>
      </w:r>
    </w:p>
    <w:p w14:paraId="327D68F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_Toc12512 </w:instrText>
      </w:r>
      <w:r>
        <w:rPr>
          <w:rFonts w:eastAsia="仿宋"/>
          <w:highlight w:val="none"/>
        </w:rPr>
        <w:fldChar w:fldCharType="separate"/>
      </w:r>
      <w:r>
        <w:rPr>
          <w:rFonts w:hint="eastAsia" w:ascii="宋体" w:hAnsi="宋体" w:eastAsia="宋体"/>
          <w:szCs w:val="28"/>
          <w:highlight w:val="none"/>
        </w:rPr>
        <w:t>格式11：</w:t>
      </w:r>
      <w:r>
        <w:rPr>
          <w:rFonts w:ascii="宋体" w:hAnsi="宋体" w:eastAsia="宋体"/>
          <w:szCs w:val="28"/>
          <w:highlight w:val="none"/>
        </w:rPr>
        <w:t>法定代表人签署的授权委托书</w:t>
      </w:r>
      <w:r>
        <w:tab/>
      </w:r>
      <w:r>
        <w:fldChar w:fldCharType="begin"/>
      </w:r>
      <w:r>
        <w:instrText xml:space="preserve"> PAGEREF _Toc12512 \h </w:instrText>
      </w:r>
      <w:r>
        <w:fldChar w:fldCharType="separate"/>
      </w:r>
      <w:r>
        <w:t>46</w:t>
      </w:r>
      <w:r>
        <w:fldChar w:fldCharType="end"/>
      </w:r>
      <w:r>
        <w:rPr>
          <w:rFonts w:eastAsia="仿宋"/>
          <w:color w:val="auto"/>
          <w:highlight w:val="none"/>
        </w:rPr>
        <w:fldChar w:fldCharType="end"/>
      </w:r>
    </w:p>
    <w:p w14:paraId="40749E25">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_Toc30282 </w:instrText>
      </w:r>
      <w:r>
        <w:rPr>
          <w:rFonts w:eastAsia="仿宋"/>
          <w:highlight w:val="none"/>
        </w:rPr>
        <w:fldChar w:fldCharType="separate"/>
      </w:r>
      <w:r>
        <w:rPr>
          <w:rFonts w:hint="eastAsia" w:ascii="宋体" w:hAnsi="宋体" w:eastAsia="宋体"/>
          <w:szCs w:val="28"/>
          <w:highlight w:val="none"/>
        </w:rPr>
        <w:t>格式12：投标保证书</w:t>
      </w:r>
      <w:r>
        <w:tab/>
      </w:r>
      <w:r>
        <w:fldChar w:fldCharType="begin"/>
      </w:r>
      <w:r>
        <w:instrText xml:space="preserve"> PAGEREF _Toc30282 \h </w:instrText>
      </w:r>
      <w:r>
        <w:fldChar w:fldCharType="separate"/>
      </w:r>
      <w:r>
        <w:t>47</w:t>
      </w:r>
      <w:r>
        <w:fldChar w:fldCharType="end"/>
      </w:r>
      <w:r>
        <w:rPr>
          <w:rFonts w:eastAsia="仿宋"/>
          <w:color w:val="auto"/>
          <w:highlight w:val="none"/>
        </w:rPr>
        <w:fldChar w:fldCharType="end"/>
      </w:r>
    </w:p>
    <w:p w14:paraId="4D4CD9F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_Toc610 </w:instrText>
      </w:r>
      <w:r>
        <w:rPr>
          <w:rFonts w:eastAsia="仿宋"/>
          <w:highlight w:val="none"/>
        </w:rPr>
        <w:fldChar w:fldCharType="separate"/>
      </w:r>
      <w:r>
        <w:rPr>
          <w:rFonts w:hint="eastAsia" w:ascii="宋体" w:hAnsi="宋体" w:eastAsia="宋体"/>
          <w:szCs w:val="28"/>
          <w:highlight w:val="none"/>
        </w:rPr>
        <w:t>格式13：售后服务方案</w:t>
      </w:r>
      <w:r>
        <w:tab/>
      </w:r>
      <w:r>
        <w:fldChar w:fldCharType="begin"/>
      </w:r>
      <w:r>
        <w:instrText xml:space="preserve"> PAGEREF _Toc610 \h </w:instrText>
      </w:r>
      <w:r>
        <w:fldChar w:fldCharType="separate"/>
      </w:r>
      <w:r>
        <w:t>48</w:t>
      </w:r>
      <w:r>
        <w:fldChar w:fldCharType="end"/>
      </w:r>
      <w:r>
        <w:rPr>
          <w:rFonts w:eastAsia="仿宋"/>
          <w:color w:val="auto"/>
          <w:highlight w:val="none"/>
        </w:rPr>
        <w:fldChar w:fldCharType="end"/>
      </w:r>
    </w:p>
    <w:p w14:paraId="57D1151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_Toc28548 </w:instrText>
      </w:r>
      <w:r>
        <w:rPr>
          <w:rFonts w:eastAsia="仿宋"/>
          <w:highlight w:val="none"/>
        </w:rPr>
        <w:fldChar w:fldCharType="separate"/>
      </w:r>
      <w:r>
        <w:rPr>
          <w:rFonts w:hint="eastAsia" w:ascii="宋体" w:hAnsi="宋体" w:eastAsia="宋体"/>
          <w:szCs w:val="28"/>
          <w:highlight w:val="none"/>
        </w:rPr>
        <w:t>格式14：近三年已完成类似项目业绩表</w:t>
      </w:r>
      <w:r>
        <w:tab/>
      </w:r>
      <w:r>
        <w:fldChar w:fldCharType="begin"/>
      </w:r>
      <w:r>
        <w:instrText xml:space="preserve"> PAGEREF _Toc28548 \h </w:instrText>
      </w:r>
      <w:r>
        <w:fldChar w:fldCharType="separate"/>
      </w:r>
      <w:r>
        <w:t>49</w:t>
      </w:r>
      <w:r>
        <w:fldChar w:fldCharType="end"/>
      </w:r>
      <w:r>
        <w:rPr>
          <w:rFonts w:eastAsia="仿宋"/>
          <w:color w:val="auto"/>
          <w:highlight w:val="none"/>
        </w:rPr>
        <w:fldChar w:fldCharType="end"/>
      </w:r>
    </w:p>
    <w:p w14:paraId="5FFD930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_Toc16525 </w:instrText>
      </w:r>
      <w:r>
        <w:rPr>
          <w:rFonts w:eastAsia="仿宋"/>
          <w:highlight w:val="none"/>
        </w:rPr>
        <w:fldChar w:fldCharType="separate"/>
      </w:r>
      <w:r>
        <w:rPr>
          <w:rFonts w:hint="eastAsia" w:ascii="宋体" w:hAnsi="宋体" w:eastAsia="宋体"/>
          <w:szCs w:val="28"/>
          <w:highlight w:val="none"/>
        </w:rPr>
        <w:t>格式15：中小企业声明函（货物）</w:t>
      </w:r>
      <w:r>
        <w:tab/>
      </w:r>
      <w:r>
        <w:fldChar w:fldCharType="begin"/>
      </w:r>
      <w:r>
        <w:instrText xml:space="preserve"> PAGEREF _Toc16525 \h </w:instrText>
      </w:r>
      <w:r>
        <w:fldChar w:fldCharType="separate"/>
      </w:r>
      <w:r>
        <w:t>50</w:t>
      </w:r>
      <w:r>
        <w:fldChar w:fldCharType="end"/>
      </w:r>
      <w:r>
        <w:rPr>
          <w:rFonts w:eastAsia="仿宋"/>
          <w:color w:val="auto"/>
          <w:highlight w:val="none"/>
        </w:rPr>
        <w:fldChar w:fldCharType="end"/>
      </w:r>
    </w:p>
    <w:p w14:paraId="3E6B7F0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_Toc24087 </w:instrText>
      </w:r>
      <w:r>
        <w:rPr>
          <w:rFonts w:eastAsia="仿宋"/>
          <w:highlight w:val="none"/>
        </w:rPr>
        <w:fldChar w:fldCharType="separate"/>
      </w:r>
      <w:r>
        <w:rPr>
          <w:rFonts w:hint="eastAsia" w:ascii="宋体" w:hAnsi="宋体" w:eastAsia="宋体"/>
          <w:szCs w:val="28"/>
          <w:highlight w:val="none"/>
        </w:rPr>
        <w:t>格式16：残疾人福利性单位声明函</w:t>
      </w:r>
      <w:r>
        <w:tab/>
      </w:r>
      <w:r>
        <w:fldChar w:fldCharType="begin"/>
      </w:r>
      <w:r>
        <w:instrText xml:space="preserve"> PAGEREF _Toc24087 \h </w:instrText>
      </w:r>
      <w:r>
        <w:fldChar w:fldCharType="separate"/>
      </w:r>
      <w:r>
        <w:t>53</w:t>
      </w:r>
      <w:r>
        <w:fldChar w:fldCharType="end"/>
      </w:r>
      <w:r>
        <w:rPr>
          <w:rFonts w:eastAsia="仿宋"/>
          <w:color w:val="auto"/>
          <w:highlight w:val="none"/>
        </w:rPr>
        <w:fldChar w:fldCharType="end"/>
      </w:r>
    </w:p>
    <w:p w14:paraId="276EF8B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_Toc1460 </w:instrText>
      </w:r>
      <w:r>
        <w:rPr>
          <w:rFonts w:eastAsia="仿宋"/>
          <w:highlight w:val="none"/>
        </w:rPr>
        <w:fldChar w:fldCharType="separate"/>
      </w:r>
      <w:r>
        <w:rPr>
          <w:rFonts w:hint="eastAsia" w:ascii="宋体" w:hAnsi="宋体" w:eastAsia="宋体"/>
          <w:szCs w:val="28"/>
          <w:highlight w:val="none"/>
        </w:rPr>
        <w:t>格式17：监狱企业证明材料</w:t>
      </w:r>
      <w:r>
        <w:tab/>
      </w:r>
      <w:r>
        <w:fldChar w:fldCharType="begin"/>
      </w:r>
      <w:r>
        <w:instrText xml:space="preserve"> PAGEREF _Toc1460 \h </w:instrText>
      </w:r>
      <w:r>
        <w:fldChar w:fldCharType="separate"/>
      </w:r>
      <w:r>
        <w:t>54</w:t>
      </w:r>
      <w:r>
        <w:fldChar w:fldCharType="end"/>
      </w:r>
      <w:r>
        <w:rPr>
          <w:rFonts w:eastAsia="仿宋"/>
          <w:color w:val="auto"/>
          <w:highlight w:val="none"/>
        </w:rPr>
        <w:fldChar w:fldCharType="end"/>
      </w:r>
    </w:p>
    <w:p w14:paraId="0DF399C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_Toc14235 </w:instrText>
      </w:r>
      <w:r>
        <w:rPr>
          <w:rFonts w:eastAsia="仿宋"/>
          <w:highlight w:val="none"/>
        </w:rPr>
        <w:fldChar w:fldCharType="separate"/>
      </w:r>
      <w:r>
        <w:rPr>
          <w:rFonts w:hint="eastAsia" w:ascii="宋体" w:hAnsi="宋体" w:eastAsia="宋体"/>
          <w:szCs w:val="28"/>
          <w:highlight w:val="none"/>
        </w:rPr>
        <w:t>格式18：其他</w:t>
      </w:r>
      <w:r>
        <w:tab/>
      </w:r>
      <w:r>
        <w:fldChar w:fldCharType="begin"/>
      </w:r>
      <w:r>
        <w:instrText xml:space="preserve"> PAGEREF _Toc14235 \h </w:instrText>
      </w:r>
      <w:r>
        <w:fldChar w:fldCharType="separate"/>
      </w:r>
      <w:r>
        <w:t>55</w:t>
      </w:r>
      <w:r>
        <w:fldChar w:fldCharType="end"/>
      </w:r>
      <w:r>
        <w:rPr>
          <w:rFonts w:eastAsia="仿宋"/>
          <w:color w:val="auto"/>
          <w:highlight w:val="none"/>
        </w:rPr>
        <w:fldChar w:fldCharType="end"/>
      </w:r>
    </w:p>
    <w:p w14:paraId="5764F5CD">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_Toc27487 </w:instrText>
      </w:r>
      <w:r>
        <w:rPr>
          <w:rFonts w:eastAsia="仿宋"/>
          <w:highlight w:val="none"/>
        </w:rPr>
        <w:fldChar w:fldCharType="separate"/>
      </w:r>
      <w:r>
        <w:rPr>
          <w:rFonts w:hint="eastAsia" w:ascii="宋体" w:hAnsi="宋体" w:eastAsia="宋体" w:cs="宋体"/>
          <w:szCs w:val="32"/>
          <w:highlight w:val="none"/>
        </w:rPr>
        <w:t xml:space="preserve">第五章 </w:t>
      </w:r>
      <w:r>
        <w:rPr>
          <w:rFonts w:ascii="宋体" w:hAnsi="宋体" w:eastAsia="宋体" w:cs="宋体"/>
          <w:szCs w:val="32"/>
          <w:highlight w:val="none"/>
        </w:rPr>
        <w:t xml:space="preserve"> </w:t>
      </w:r>
      <w:r>
        <w:rPr>
          <w:rFonts w:hint="eastAsia" w:ascii="宋体" w:hAnsi="宋体" w:eastAsia="宋体" w:cs="宋体"/>
          <w:szCs w:val="32"/>
          <w:highlight w:val="none"/>
        </w:rPr>
        <w:t>招标内容及要求</w:t>
      </w:r>
      <w:r>
        <w:tab/>
      </w:r>
      <w:r>
        <w:fldChar w:fldCharType="begin"/>
      </w:r>
      <w:r>
        <w:instrText xml:space="preserve"> PAGEREF _Toc27487 \h </w:instrText>
      </w:r>
      <w:r>
        <w:fldChar w:fldCharType="separate"/>
      </w:r>
      <w:r>
        <w:t>56</w:t>
      </w:r>
      <w:r>
        <w:fldChar w:fldCharType="end"/>
      </w:r>
      <w:r>
        <w:rPr>
          <w:rFonts w:eastAsia="仿宋"/>
          <w:color w:val="auto"/>
          <w:highlight w:val="none"/>
        </w:rPr>
        <w:fldChar w:fldCharType="end"/>
      </w:r>
    </w:p>
    <w:p w14:paraId="1DD5831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_Toc26777 </w:instrText>
      </w:r>
      <w:r>
        <w:rPr>
          <w:rFonts w:eastAsia="仿宋"/>
          <w:highlight w:val="none"/>
        </w:rPr>
        <w:fldChar w:fldCharType="separate"/>
      </w:r>
      <w:r>
        <w:rPr>
          <w:rFonts w:hint="eastAsia" w:ascii="宋体" w:hAnsi="宋体" w:eastAsia="宋体" w:cs="宋体"/>
          <w:szCs w:val="24"/>
          <w:lang w:val="en-US" w:eastAsia="zh-CN"/>
        </w:rPr>
        <w:t xml:space="preserve">1、 </w:t>
      </w:r>
      <w:r>
        <w:rPr>
          <w:rFonts w:hint="eastAsia" w:ascii="宋体" w:hAnsi="宋体" w:eastAsia="宋体" w:cs="宋体"/>
          <w:szCs w:val="24"/>
          <w:highlight w:val="none"/>
          <w:lang w:val="en-US" w:eastAsia="zh-CN"/>
        </w:rPr>
        <w:t>无人机</w:t>
      </w:r>
      <w:r>
        <w:tab/>
      </w:r>
      <w:r>
        <w:fldChar w:fldCharType="begin"/>
      </w:r>
      <w:r>
        <w:instrText xml:space="preserve"> PAGEREF _Toc26777 \h </w:instrText>
      </w:r>
      <w:r>
        <w:fldChar w:fldCharType="separate"/>
      </w:r>
      <w:r>
        <w:t>57</w:t>
      </w:r>
      <w:r>
        <w:fldChar w:fldCharType="end"/>
      </w:r>
      <w:r>
        <w:rPr>
          <w:rFonts w:eastAsia="仿宋"/>
          <w:color w:val="auto"/>
          <w:highlight w:val="none"/>
        </w:rPr>
        <w:fldChar w:fldCharType="end"/>
      </w:r>
    </w:p>
    <w:p w14:paraId="47F6E34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_Toc2185 </w:instrText>
      </w:r>
      <w:r>
        <w:rPr>
          <w:rFonts w:eastAsia="仿宋"/>
          <w:highlight w:val="none"/>
        </w:rPr>
        <w:fldChar w:fldCharType="separate"/>
      </w:r>
      <w:r>
        <w:rPr>
          <w:rFonts w:hint="eastAsia" w:ascii="宋体" w:hAnsi="宋体" w:eastAsia="宋体" w:cs="宋体"/>
          <w:szCs w:val="24"/>
          <w:lang w:val="en-US" w:eastAsia="zh-CN"/>
        </w:rPr>
        <w:t xml:space="preserve">2、 </w:t>
      </w:r>
      <w:r>
        <w:rPr>
          <w:rFonts w:hint="eastAsia" w:ascii="宋体" w:hAnsi="宋体" w:eastAsia="宋体" w:cs="宋体"/>
          <w:szCs w:val="24"/>
          <w:highlight w:val="none"/>
          <w:lang w:val="en-US" w:eastAsia="zh-CN"/>
        </w:rPr>
        <w:t>无人机监测系统</w:t>
      </w:r>
      <w:r>
        <w:tab/>
      </w:r>
      <w:r>
        <w:fldChar w:fldCharType="begin"/>
      </w:r>
      <w:r>
        <w:instrText xml:space="preserve"> PAGEREF _Toc2185 \h </w:instrText>
      </w:r>
      <w:r>
        <w:fldChar w:fldCharType="separate"/>
      </w:r>
      <w:r>
        <w:t>58</w:t>
      </w:r>
      <w:r>
        <w:fldChar w:fldCharType="end"/>
      </w:r>
      <w:r>
        <w:rPr>
          <w:rFonts w:eastAsia="仿宋"/>
          <w:color w:val="auto"/>
          <w:highlight w:val="none"/>
        </w:rPr>
        <w:fldChar w:fldCharType="end"/>
      </w:r>
    </w:p>
    <w:p w14:paraId="2E52905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_Toc32338 </w:instrText>
      </w:r>
      <w:r>
        <w:rPr>
          <w:rFonts w:eastAsia="仿宋"/>
          <w:highlight w:val="none"/>
        </w:rPr>
        <w:fldChar w:fldCharType="separate"/>
      </w:r>
      <w:r>
        <w:rPr>
          <w:rFonts w:hint="eastAsia" w:ascii="宋体" w:hAnsi="宋体" w:eastAsia="宋体" w:cs="宋体"/>
          <w:szCs w:val="24"/>
          <w:lang w:val="en-US" w:eastAsia="zh-CN"/>
        </w:rPr>
        <w:t xml:space="preserve">3、 </w:t>
      </w:r>
      <w:r>
        <w:rPr>
          <w:rFonts w:hint="eastAsia" w:ascii="宋体" w:hAnsi="宋体" w:eastAsia="宋体" w:cs="宋体"/>
          <w:szCs w:val="24"/>
          <w:highlight w:val="none"/>
          <w:lang w:val="en-US" w:eastAsia="zh-CN"/>
        </w:rPr>
        <w:t>红外烟气分析仪</w:t>
      </w:r>
      <w:r>
        <w:tab/>
      </w:r>
      <w:r>
        <w:fldChar w:fldCharType="begin"/>
      </w:r>
      <w:r>
        <w:instrText xml:space="preserve"> PAGEREF _Toc32338 \h </w:instrText>
      </w:r>
      <w:r>
        <w:fldChar w:fldCharType="separate"/>
      </w:r>
      <w:r>
        <w:t>60</w:t>
      </w:r>
      <w:r>
        <w:fldChar w:fldCharType="end"/>
      </w:r>
      <w:r>
        <w:rPr>
          <w:rFonts w:eastAsia="仿宋"/>
          <w:color w:val="auto"/>
          <w:highlight w:val="none"/>
        </w:rPr>
        <w:fldChar w:fldCharType="end"/>
      </w:r>
    </w:p>
    <w:p w14:paraId="1443A34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_Toc1753 </w:instrText>
      </w:r>
      <w:r>
        <w:rPr>
          <w:rFonts w:eastAsia="仿宋"/>
          <w:highlight w:val="none"/>
        </w:rPr>
        <w:fldChar w:fldCharType="separate"/>
      </w:r>
      <w:r>
        <w:rPr>
          <w:rFonts w:hint="eastAsia" w:ascii="宋体" w:hAnsi="宋体" w:eastAsia="宋体" w:cs="宋体"/>
          <w:szCs w:val="24"/>
          <w:lang w:val="en-US" w:eastAsia="zh-CN"/>
        </w:rPr>
        <w:t xml:space="preserve">4、 </w:t>
      </w:r>
      <w:r>
        <w:rPr>
          <w:rFonts w:hint="eastAsia" w:ascii="宋体" w:hAnsi="宋体" w:eastAsia="宋体" w:cs="宋体"/>
          <w:szCs w:val="24"/>
          <w:highlight w:val="none"/>
          <w:lang w:val="en-US" w:eastAsia="zh-CN"/>
        </w:rPr>
        <w:t>便携式颗粒物分析仪</w:t>
      </w:r>
      <w:r>
        <w:tab/>
      </w:r>
      <w:r>
        <w:fldChar w:fldCharType="begin"/>
      </w:r>
      <w:r>
        <w:instrText xml:space="preserve"> PAGEREF _Toc1753 \h </w:instrText>
      </w:r>
      <w:r>
        <w:fldChar w:fldCharType="separate"/>
      </w:r>
      <w:r>
        <w:t>62</w:t>
      </w:r>
      <w:r>
        <w:fldChar w:fldCharType="end"/>
      </w:r>
      <w:r>
        <w:rPr>
          <w:rFonts w:eastAsia="仿宋"/>
          <w:color w:val="auto"/>
          <w:highlight w:val="none"/>
        </w:rPr>
        <w:fldChar w:fldCharType="end"/>
      </w:r>
    </w:p>
    <w:p w14:paraId="5333CF3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_Toc12182 </w:instrText>
      </w:r>
      <w:r>
        <w:rPr>
          <w:rFonts w:eastAsia="仿宋"/>
          <w:highlight w:val="none"/>
        </w:rPr>
        <w:fldChar w:fldCharType="separate"/>
      </w:r>
      <w:r>
        <w:rPr>
          <w:rFonts w:hint="eastAsia" w:ascii="宋体" w:hAnsi="宋体" w:eastAsia="宋体" w:cs="宋体"/>
          <w:szCs w:val="24"/>
          <w:lang w:val="en-US" w:eastAsia="zh-CN"/>
        </w:rPr>
        <w:t xml:space="preserve">5、 </w:t>
      </w:r>
      <w:r>
        <w:rPr>
          <w:rFonts w:hint="eastAsia" w:ascii="宋体" w:hAnsi="宋体" w:eastAsia="宋体" w:cs="宋体"/>
          <w:szCs w:val="24"/>
          <w:highlight w:val="none"/>
          <w:lang w:val="en-US" w:eastAsia="zh-CN"/>
        </w:rPr>
        <w:t>全自动便携式紫外测油仪</w:t>
      </w:r>
      <w:r>
        <w:tab/>
      </w:r>
      <w:r>
        <w:fldChar w:fldCharType="begin"/>
      </w:r>
      <w:r>
        <w:instrText xml:space="preserve"> PAGEREF _Toc12182 \h </w:instrText>
      </w:r>
      <w:r>
        <w:fldChar w:fldCharType="separate"/>
      </w:r>
      <w:r>
        <w:t>63</w:t>
      </w:r>
      <w:r>
        <w:fldChar w:fldCharType="end"/>
      </w:r>
      <w:r>
        <w:rPr>
          <w:rFonts w:eastAsia="仿宋"/>
          <w:color w:val="auto"/>
          <w:highlight w:val="none"/>
        </w:rPr>
        <w:fldChar w:fldCharType="end"/>
      </w:r>
    </w:p>
    <w:p w14:paraId="2880B20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_Toc11927 </w:instrText>
      </w:r>
      <w:r>
        <w:rPr>
          <w:rFonts w:eastAsia="仿宋"/>
          <w:highlight w:val="none"/>
        </w:rPr>
        <w:fldChar w:fldCharType="separate"/>
      </w:r>
      <w:r>
        <w:rPr>
          <w:rFonts w:hint="eastAsia" w:ascii="宋体" w:hAnsi="宋体" w:eastAsia="宋体" w:cs="宋体"/>
          <w:szCs w:val="24"/>
          <w:lang w:val="en-US" w:eastAsia="zh-CN"/>
        </w:rPr>
        <w:t xml:space="preserve">6、 </w:t>
      </w:r>
      <w:r>
        <w:rPr>
          <w:rFonts w:hint="eastAsia" w:ascii="宋体" w:hAnsi="宋体" w:eastAsia="宋体" w:cs="宋体"/>
          <w:szCs w:val="24"/>
          <w:highlight w:val="none"/>
          <w:lang w:val="en-US" w:eastAsia="zh-CN"/>
        </w:rPr>
        <w:t>便携式X射线荧光光谱仪</w:t>
      </w:r>
      <w:r>
        <w:tab/>
      </w:r>
      <w:r>
        <w:fldChar w:fldCharType="begin"/>
      </w:r>
      <w:r>
        <w:instrText xml:space="preserve"> PAGEREF _Toc11927 \h </w:instrText>
      </w:r>
      <w:r>
        <w:fldChar w:fldCharType="separate"/>
      </w:r>
      <w:r>
        <w:t>64</w:t>
      </w:r>
      <w:r>
        <w:fldChar w:fldCharType="end"/>
      </w:r>
      <w:r>
        <w:rPr>
          <w:rFonts w:eastAsia="仿宋"/>
          <w:color w:val="auto"/>
          <w:highlight w:val="none"/>
        </w:rPr>
        <w:fldChar w:fldCharType="end"/>
      </w:r>
    </w:p>
    <w:p w14:paraId="1D4697A9">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_Toc17753 </w:instrText>
      </w:r>
      <w:r>
        <w:rPr>
          <w:rFonts w:eastAsia="仿宋"/>
          <w:highlight w:val="none"/>
        </w:rPr>
        <w:fldChar w:fldCharType="separate"/>
      </w:r>
      <w:r>
        <w:rPr>
          <w:rFonts w:hint="eastAsia" w:ascii="宋体" w:hAnsi="宋体" w:eastAsia="宋体" w:cs="宋体"/>
          <w:szCs w:val="40"/>
          <w:highlight w:val="none"/>
        </w:rPr>
        <w:t>第六章  评标办法（综合评分法）</w:t>
      </w:r>
      <w:r>
        <w:tab/>
      </w:r>
      <w:r>
        <w:fldChar w:fldCharType="begin"/>
      </w:r>
      <w:r>
        <w:instrText xml:space="preserve"> PAGEREF _Toc17753 \h </w:instrText>
      </w:r>
      <w:r>
        <w:fldChar w:fldCharType="separate"/>
      </w:r>
      <w:r>
        <w:t>67</w:t>
      </w:r>
      <w: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11600"/>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28359002"/>
      <w:bookmarkStart w:id="2" w:name="_Toc28359079"/>
      <w:bookmarkStart w:id="3" w:name="_Toc35393790"/>
      <w:bookmarkStart w:id="4" w:name="_Toc35393621"/>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19951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25AC3A65">
      <w:pPr>
        <w:spacing w:line="360" w:lineRule="auto"/>
        <w:ind w:firstLine="480" w:firstLineChars="200"/>
        <w:rPr>
          <w:rFonts w:hint="eastAsia" w:ascii="宋体" w:hAnsi="宋体" w:cs="宋体"/>
          <w:b/>
          <w:bCs/>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28359003"/>
      <w:bookmarkStart w:id="7" w:name="_Toc35393791"/>
      <w:bookmarkStart w:id="8" w:name="_Toc28359080"/>
      <w:bookmarkStart w:id="9" w:name="_Toc35393622"/>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35393792"/>
      <w:bookmarkStart w:id="11" w:name="_Toc28359081"/>
      <w:bookmarkStart w:id="12" w:name="_Toc35393623"/>
      <w:bookmarkStart w:id="13" w:name="_Toc28359004"/>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28359085"/>
      <w:bookmarkStart w:id="15" w:name="_Toc28359008"/>
      <w:bookmarkStart w:id="16" w:name="_Toc35393627"/>
      <w:bookmarkStart w:id="17" w:name="_Toc35393796"/>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05"/>
      <w:bookmarkStart w:id="19" w:name="_Toc28359082"/>
      <w:bookmarkStart w:id="20" w:name="_Toc35393624"/>
      <w:bookmarkStart w:id="21" w:name="_Toc35393793"/>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28359084"/>
      <w:bookmarkStart w:id="23" w:name="_Toc35393794"/>
      <w:bookmarkStart w:id="24" w:name="_Toc35393625"/>
      <w:bookmarkStart w:id="25" w:name="_Toc28359007"/>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795"/>
      <w:bookmarkStart w:id="27" w:name="_Toc35393626"/>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86"/>
      <w:bookmarkStart w:id="29" w:name="_Toc28359009"/>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87"/>
      <w:bookmarkStart w:id="31" w:name="_Toc28359010"/>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28522"/>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6</w:t>
            </w:r>
            <w:r>
              <w:rPr>
                <w:rFonts w:hint="eastAsia"/>
                <w:b/>
                <w:bCs/>
                <w:color w:val="auto"/>
                <w:sz w:val="24"/>
                <w:highlight w:val="none"/>
              </w:rPr>
              <w:t>标段。</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4E4883B7">
            <w:pPr>
              <w:pStyle w:val="21"/>
              <w:rPr>
                <w:rFonts w:hint="eastAsia"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6</w:t>
            </w:r>
            <w:r>
              <w:rPr>
                <w:rFonts w:hint="eastAsia" w:hAnsi="宋体"/>
                <w:color w:val="auto"/>
                <w:kern w:val="18"/>
                <w:sz w:val="24"/>
                <w:highlight w:val="none"/>
              </w:rPr>
              <w:t>标段：金额为</w:t>
            </w:r>
            <w:r>
              <w:rPr>
                <w:rFonts w:hint="eastAsia" w:hAnsi="宋体"/>
                <w:color w:val="auto"/>
                <w:kern w:val="18"/>
                <w:sz w:val="24"/>
                <w:highlight w:val="none"/>
                <w:lang w:val="en-US" w:eastAsia="zh-CN"/>
              </w:rPr>
              <w:t>75000</w:t>
            </w:r>
            <w:r>
              <w:rPr>
                <w:rFonts w:hint="eastAsia" w:hAnsi="宋体"/>
                <w:color w:val="auto"/>
                <w:kern w:val="18"/>
                <w:sz w:val="24"/>
                <w:highlight w:val="none"/>
              </w:rPr>
              <w:t>元,由中标人在领取中标通知书时一次性向招标代理机构支付。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6</w:t>
            </w:r>
            <w:r>
              <w:rPr>
                <w:rFonts w:hint="eastAsia" w:ascii="宋体" w:hAnsi="宋体"/>
                <w:bCs/>
                <w:color w:val="auto"/>
                <w:sz w:val="24"/>
                <w:highlight w:val="none"/>
              </w:rPr>
              <w:t>标段：</w:t>
            </w:r>
            <w:r>
              <w:rPr>
                <w:rFonts w:hint="eastAsia" w:ascii="宋体" w:hAnsi="宋体"/>
                <w:color w:val="auto"/>
                <w:sz w:val="24"/>
                <w:highlight w:val="none"/>
                <w:lang w:val="en-US" w:eastAsia="zh-CN"/>
              </w:rPr>
              <w:t>58000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标段保证金）。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6</w:t>
            </w:r>
            <w:r>
              <w:rPr>
                <w:rFonts w:hint="eastAsia" w:ascii="宋体" w:hAnsi="宋体" w:cs="宋体"/>
                <w:b/>
                <w:color w:val="auto"/>
                <w:kern w:val="0"/>
                <w:sz w:val="24"/>
                <w:szCs w:val="20"/>
                <w:highlight w:val="none"/>
              </w:rPr>
              <w:t>标段：</w:t>
            </w:r>
            <w:r>
              <w:rPr>
                <w:rFonts w:hint="eastAsia" w:ascii="宋体" w:hAnsi="宋体" w:cs="宋体"/>
                <w:b/>
                <w:color w:val="auto"/>
                <w:kern w:val="0"/>
                <w:sz w:val="24"/>
                <w:szCs w:val="20"/>
                <w:highlight w:val="none"/>
                <w:lang w:val="en-US" w:eastAsia="zh-CN"/>
              </w:rPr>
              <w:t>580万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合同款支付：合同签订后原则上自收到发票后10个工作日内，甲方向乙方支付合同价款的</w:t>
            </w:r>
            <w:r>
              <w:rPr>
                <w:rFonts w:hint="eastAsia" w:hAnsi="宋体" w:cs="宋体"/>
                <w:b/>
                <w:color w:val="auto"/>
                <w:kern w:val="0"/>
                <w:sz w:val="24"/>
                <w:highlight w:val="none"/>
                <w:u w:val="single"/>
              </w:rPr>
              <w:t xml:space="preserve"> 8</w:t>
            </w:r>
            <w:r>
              <w:rPr>
                <w:rFonts w:hint="eastAsia" w:hAnsi="宋体" w:cs="宋体"/>
                <w:b/>
                <w:color w:val="auto"/>
                <w:kern w:val="0"/>
                <w:sz w:val="24"/>
                <w:highlight w:val="none"/>
                <w:u w:val="single"/>
                <w:lang w:val="en-US" w:eastAsia="zh-CN"/>
              </w:rPr>
              <w:t>0</w:t>
            </w:r>
            <w:r>
              <w:rPr>
                <w:rFonts w:hint="eastAsia" w:hAnsi="宋体" w:cs="宋体"/>
                <w:b/>
                <w:color w:val="auto"/>
                <w:kern w:val="0"/>
                <w:sz w:val="24"/>
                <w:highlight w:val="none"/>
                <w:u w:val="single"/>
              </w:rPr>
              <w:t xml:space="preserve"> ％</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12380"/>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11124"/>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17749"/>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18277"/>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16019"/>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23450"/>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19643"/>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28902"/>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27951"/>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4009"/>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11562"/>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9483"/>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28328"/>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22214"/>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1405"/>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5170"/>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30293"/>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19067"/>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11881"/>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28332"/>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561"/>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16744"/>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29279"/>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16339"/>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29150"/>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6710"/>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31923"/>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15838"/>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3818"/>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13005"/>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17405"/>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5139"/>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27218"/>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24519"/>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29632"/>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1020"/>
      <w:bookmarkStart w:id="73" w:name="_Toc7157"/>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13124"/>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30756"/>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6473"/>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28349"/>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27433"/>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18751"/>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9"/>
      <w:bookmarkEnd w:id="83"/>
      <w:bookmarkStart w:id="84" w:name="bookmark78"/>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blPrEx>
          <w:tblCellMar>
            <w:top w:w="0" w:type="dxa"/>
            <w:left w:w="0" w:type="dxa"/>
            <w:bottom w:w="0" w:type="dxa"/>
            <w:right w:w="0" w:type="dxa"/>
          </w:tblCellMar>
        </w:tblPrEx>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6106"/>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2212"/>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6883"/>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6</w:t>
      </w:r>
      <w:r>
        <w:rPr>
          <w:rFonts w:hint="eastAsia" w:ascii="宋体" w:hAnsi="宋体"/>
          <w:b/>
          <w:bCs/>
          <w:color w:val="auto"/>
          <w:sz w:val="28"/>
          <w:highlight w:val="none"/>
        </w:rPr>
        <w:t>标段）</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27178025"/>
            <w:bookmarkStart w:id="91" w:name="_Toc326740417"/>
            <w:bookmarkStart w:id="92" w:name="_Toc376964464"/>
            <w:bookmarkStart w:id="93" w:name="_Toc29181"/>
            <w:bookmarkStart w:id="94" w:name="_Toc472594292"/>
            <w:bookmarkStart w:id="95" w:name="_Toc19192"/>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1792"/>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525998713"/>
      <w:bookmarkStart w:id="98" w:name="_Toc150703258"/>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10248"/>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27394"/>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7F05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2FBA8A2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338189DA">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31204009">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3A5AFA9E">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44D51182">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2B577BC4">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128D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1CD962ED">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2812211">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7580CC6B">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3F55F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564400FF">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3F28BDC6">
            <w:pPr>
              <w:spacing w:before="165" w:beforeLines="50" w:after="165" w:afterLines="50" w:line="400" w:lineRule="exact"/>
              <w:jc w:val="center"/>
              <w:rPr>
                <w:rFonts w:ascii="宋体" w:hAnsi="宋体"/>
                <w:color w:val="auto"/>
                <w:sz w:val="24"/>
                <w:highlight w:val="none"/>
              </w:rPr>
            </w:pPr>
          </w:p>
        </w:tc>
      </w:tr>
      <w:tr w14:paraId="5CFA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5BF1AC">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07A051F8">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116096A">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7491A057">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3E4490F">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3F557AD2">
            <w:pPr>
              <w:spacing w:before="165" w:beforeLines="50" w:after="165" w:afterLines="50" w:line="400" w:lineRule="exact"/>
              <w:jc w:val="center"/>
              <w:rPr>
                <w:rFonts w:ascii="宋体" w:hAnsi="宋体"/>
                <w:color w:val="auto"/>
                <w:sz w:val="24"/>
                <w:highlight w:val="none"/>
              </w:rPr>
            </w:pPr>
          </w:p>
        </w:tc>
      </w:tr>
      <w:tr w14:paraId="283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F51899F">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0718D63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6E4E026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7C766C97">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9C9D8A3">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61F704">
            <w:pPr>
              <w:spacing w:before="165" w:beforeLines="50" w:after="165" w:afterLines="50" w:line="400" w:lineRule="exact"/>
              <w:jc w:val="center"/>
              <w:rPr>
                <w:rFonts w:ascii="宋体" w:hAnsi="宋体"/>
                <w:color w:val="auto"/>
                <w:sz w:val="24"/>
                <w:highlight w:val="none"/>
              </w:rPr>
            </w:pPr>
          </w:p>
        </w:tc>
      </w:tr>
      <w:tr w14:paraId="21D4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5BDC6119">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75F67B5A">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5BEDAC9">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F156F24">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199C78D">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5BE883A7">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b/>
          <w:bCs/>
          <w:color w:val="auto"/>
          <w:szCs w:val="21"/>
          <w:highlight w:val="none"/>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27987"/>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3156"/>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26210"/>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30777"/>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21279"/>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32730"/>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150703260"/>
      <w:bookmarkStart w:id="110" w:name="_Toc13651"/>
      <w:bookmarkStart w:id="111" w:name="_Toc525998715"/>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96259140"/>
      <w:bookmarkStart w:id="113" w:name="_Toc89164899"/>
      <w:bookmarkStart w:id="114" w:name="_Toc24148"/>
      <w:bookmarkStart w:id="115" w:name="_Toc150703261"/>
      <w:bookmarkStart w:id="116" w:name="_Toc17943"/>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5042"/>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7178019"/>
      <w:bookmarkStart w:id="121" w:name="_Toc326740410"/>
      <w:bookmarkStart w:id="122" w:name="_Toc525998717"/>
      <w:bookmarkStart w:id="123" w:name="_Toc430197656"/>
      <w:bookmarkStart w:id="124" w:name="_Toc12512"/>
      <w:bookmarkStart w:id="125" w:name="_Toc150703263"/>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31715"/>
      <w:bookmarkStart w:id="127" w:name="_Toc6741"/>
      <w:bookmarkStart w:id="128" w:name="_Toc150703264"/>
      <w:bookmarkStart w:id="129" w:name="_Toc30282"/>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13664"/>
      <w:bookmarkStart w:id="131" w:name="_Toc22838"/>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610"/>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28560"/>
      <w:bookmarkStart w:id="136" w:name="_Toc96259148"/>
      <w:bookmarkStart w:id="137" w:name="_Toc28548"/>
      <w:bookmarkStart w:id="138" w:name="_Toc11244"/>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含有所投标核心产品之一的供货业绩，金额不限；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5340"/>
      <w:bookmarkStart w:id="141" w:name="_Toc12547"/>
      <w:bookmarkStart w:id="142" w:name="_Toc16525"/>
      <w:bookmarkStart w:id="143" w:name="_Toc3501"/>
      <w:bookmarkStart w:id="144" w:name="_Toc29687"/>
      <w:bookmarkStart w:id="145" w:name="_Toc6114"/>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302"/>
      <w:bookmarkStart w:id="149" w:name="_Toc24087"/>
      <w:bookmarkStart w:id="150" w:name="_Toc7011"/>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109651442"/>
      <w:bookmarkStart w:id="152" w:name="_Toc4726"/>
      <w:bookmarkStart w:id="153" w:name="_Toc32563"/>
      <w:bookmarkStart w:id="154" w:name="_Toc1460"/>
      <w:bookmarkStart w:id="155" w:name="_Toc17452"/>
      <w:bookmarkStart w:id="156" w:name="_Toc3858"/>
      <w:bookmarkStart w:id="157" w:name="_Toc5763"/>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14235"/>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27487"/>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00201396">
      <w:pPr>
        <w:spacing w:line="480" w:lineRule="auto"/>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24"/>
          <w:szCs w:val="24"/>
          <w:highlight w:val="none"/>
          <w:lang w:val="en-US" w:eastAsia="zh-CN" w:bidi="ar-SA"/>
        </w:rPr>
        <w:t>6标段：预算金额580万元</w:t>
      </w:r>
      <w:r>
        <w:rPr>
          <w:rFonts w:hint="eastAsia" w:ascii="宋体" w:hAnsi="宋体" w:cs="宋体"/>
          <w:b/>
          <w:color w:val="auto"/>
          <w:kern w:val="0"/>
          <w:sz w:val="24"/>
          <w:szCs w:val="24"/>
          <w:highlight w:val="none"/>
          <w:lang w:val="en-US" w:eastAsia="zh-CN" w:bidi="ar-SA"/>
        </w:rPr>
        <w:t>，核心产品为：全自动便携式紫外测油仪、便携式X射线荧光光谱仪</w:t>
      </w:r>
    </w:p>
    <w:tbl>
      <w:tblPr>
        <w:tblStyle w:val="34"/>
        <w:tblW w:w="8752"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577"/>
        <w:gridCol w:w="2035"/>
        <w:gridCol w:w="783"/>
        <w:gridCol w:w="1016"/>
        <w:gridCol w:w="1144"/>
        <w:gridCol w:w="1056"/>
        <w:gridCol w:w="1635"/>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0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553E2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D1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3C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D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38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CA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0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25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0F6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73B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F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5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5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5E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C6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4A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31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FC52">
            <w:pPr>
              <w:jc w:val="center"/>
              <w:rPr>
                <w:rFonts w:hint="eastAsia" w:ascii="宋体" w:hAnsi="宋体" w:eastAsia="宋体" w:cs="宋体"/>
                <w:i w:val="0"/>
                <w:iCs w:val="0"/>
                <w:color w:val="auto"/>
                <w:sz w:val="20"/>
                <w:szCs w:val="20"/>
                <w:highlight w:val="none"/>
                <w:u w:val="none"/>
              </w:rPr>
            </w:pPr>
          </w:p>
        </w:tc>
      </w:tr>
      <w:tr w14:paraId="3EFF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82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8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8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A9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E5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59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5B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C895">
            <w:pPr>
              <w:jc w:val="center"/>
              <w:rPr>
                <w:rFonts w:hint="eastAsia" w:ascii="宋体" w:hAnsi="宋体" w:eastAsia="宋体" w:cs="宋体"/>
                <w:i w:val="0"/>
                <w:iCs w:val="0"/>
                <w:color w:val="auto"/>
                <w:sz w:val="20"/>
                <w:szCs w:val="20"/>
                <w:highlight w:val="none"/>
                <w:u w:val="none"/>
              </w:rPr>
            </w:pPr>
          </w:p>
        </w:tc>
      </w:tr>
      <w:tr w14:paraId="1A54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A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A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36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B8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48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6B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ED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77F9F">
            <w:pPr>
              <w:jc w:val="center"/>
              <w:rPr>
                <w:rFonts w:hint="eastAsia" w:ascii="宋体" w:hAnsi="宋体" w:eastAsia="宋体" w:cs="宋体"/>
                <w:i w:val="0"/>
                <w:iCs w:val="0"/>
                <w:color w:val="auto"/>
                <w:sz w:val="20"/>
                <w:szCs w:val="20"/>
                <w:highlight w:val="none"/>
                <w:u w:val="none"/>
              </w:rPr>
            </w:pPr>
          </w:p>
        </w:tc>
      </w:tr>
      <w:tr w14:paraId="2FCD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63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7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04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5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5D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1A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8C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A623E">
            <w:pPr>
              <w:jc w:val="center"/>
              <w:rPr>
                <w:rFonts w:hint="eastAsia" w:ascii="宋体" w:hAnsi="宋体" w:eastAsia="宋体" w:cs="宋体"/>
                <w:i w:val="0"/>
                <w:iCs w:val="0"/>
                <w:color w:val="auto"/>
                <w:sz w:val="20"/>
                <w:szCs w:val="20"/>
                <w:highlight w:val="none"/>
                <w:u w:val="none"/>
              </w:rPr>
            </w:pPr>
          </w:p>
        </w:tc>
      </w:tr>
      <w:tr w14:paraId="6D35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1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DB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5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D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B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5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A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66CC">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3C4C4A97">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（15个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096228A3">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0" w:name="_Toc26777"/>
      <w:r>
        <w:rPr>
          <w:rFonts w:hint="eastAsia" w:ascii="宋体" w:hAnsi="宋体" w:eastAsia="宋体" w:cs="宋体"/>
          <w:color w:val="auto"/>
          <w:sz w:val="24"/>
          <w:szCs w:val="24"/>
          <w:highlight w:val="none"/>
          <w:lang w:val="en-US" w:eastAsia="zh-CN"/>
        </w:rPr>
        <w:t>无人机</w:t>
      </w:r>
      <w:bookmarkEnd w:id="160"/>
    </w:p>
    <w:p w14:paraId="56292B70">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1" w:name="_Toc10448"/>
      <w:r>
        <w:rPr>
          <w:rFonts w:hint="eastAsia" w:ascii="宋体" w:hAnsi="宋体" w:eastAsia="宋体" w:cs="宋体"/>
          <w:b/>
          <w:bCs/>
          <w:color w:val="auto"/>
          <w:sz w:val="24"/>
          <w:szCs w:val="24"/>
          <w:highlight w:val="none"/>
        </w:rPr>
        <w:t>一、基本要求</w:t>
      </w:r>
      <w:bookmarkEnd w:id="161"/>
    </w:p>
    <w:p w14:paraId="04744161">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适用于污染源执法排查和应急监测等场景，配备常规摄像功能模块。</w:t>
      </w:r>
    </w:p>
    <w:p w14:paraId="7AFCE9F8">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2" w:name="_Toc13316"/>
      <w:r>
        <w:rPr>
          <w:rFonts w:hint="eastAsia" w:ascii="宋体" w:hAnsi="宋体" w:eastAsia="宋体" w:cs="宋体"/>
          <w:b/>
          <w:bCs/>
          <w:color w:val="auto"/>
          <w:sz w:val="24"/>
          <w:szCs w:val="24"/>
          <w:highlight w:val="none"/>
        </w:rPr>
        <w:t>二、技术参数</w:t>
      </w:r>
      <w:bookmarkEnd w:id="162"/>
    </w:p>
    <w:p w14:paraId="53A8D716">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对称电机轴距≤400mm； </w:t>
      </w:r>
    </w:p>
    <w:p w14:paraId="0F505AE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最大上升速度≥5m/s；</w:t>
      </w:r>
    </w:p>
    <w:p w14:paraId="18BC500C">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最大下降速度≥5m/s；</w:t>
      </w:r>
    </w:p>
    <w:p w14:paraId="0B57A711">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最大水平飞行速度≥15m/s；</w:t>
      </w:r>
    </w:p>
    <w:p w14:paraId="3CB0EE53">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最大抗风速度≥10 m/s；</w:t>
      </w:r>
    </w:p>
    <w:p w14:paraId="6AB3B400">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最大飞行时间≥30 min；</w:t>
      </w:r>
    </w:p>
    <w:p w14:paraId="0B0D59A4">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最大飞行海拔高度≥3000m。</w:t>
      </w:r>
    </w:p>
    <w:p w14:paraId="1A34A2CD">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2.2悬停精度：垂直：±0.5 m（视觉系统±0.1 m）、水平：±1.5 m（视觉系统±0.3 m）；</w:t>
      </w:r>
    </w:p>
    <w:p w14:paraId="70564B1E">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有效载重不低于500克。</w:t>
      </w:r>
    </w:p>
    <w:p w14:paraId="398CA407">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2.4便携可视遥控器，屏幕尺寸不低于4 英寸，续航时间至少大于2 小时。</w:t>
      </w:r>
    </w:p>
    <w:p w14:paraId="637D6A32">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2.5遥控器具备北斗系统定位，至少满足蓝牙5.1和WI-FI6协议。</w:t>
      </w:r>
    </w:p>
    <w:p w14:paraId="5D5FEF35">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▲2.6配置广角相机、中长焦相机，可拍摄视频具有夜景拍摄模式功能，数字变焦满足广角1-3倍，中长焦3-9倍。</w:t>
      </w:r>
    </w:p>
    <w:p w14:paraId="4468A570">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2.7最大信号有效距离至少大于2公里。</w:t>
      </w:r>
    </w:p>
    <w:p w14:paraId="7D9F83B7">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3" w:name="_Toc14869"/>
      <w:r>
        <w:rPr>
          <w:rFonts w:hint="eastAsia" w:ascii="宋体" w:hAnsi="宋体" w:eastAsia="宋体" w:cs="宋体"/>
          <w:b/>
          <w:bCs/>
          <w:color w:val="auto"/>
          <w:sz w:val="24"/>
          <w:szCs w:val="24"/>
          <w:highlight w:val="none"/>
        </w:rPr>
        <w:t>三、配置要求</w:t>
      </w:r>
      <w:bookmarkEnd w:id="163"/>
    </w:p>
    <w:p w14:paraId="6B8CEF00">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3.1无人机主机1套，智能飞行电池2套，保护包1个，可视面板遥控器1套，遥控器电池2套。</w:t>
      </w:r>
    </w:p>
    <w:p w14:paraId="18B9C605">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4" w:name="_Toc20808"/>
      <w:r>
        <w:rPr>
          <w:rFonts w:hint="eastAsia" w:ascii="宋体" w:hAnsi="宋体" w:eastAsia="宋体" w:cs="宋体"/>
          <w:b/>
          <w:bCs/>
          <w:color w:val="auto"/>
          <w:sz w:val="24"/>
          <w:szCs w:val="24"/>
          <w:highlight w:val="none"/>
        </w:rPr>
        <w:t>四、技术服务和培训</w:t>
      </w:r>
      <w:bookmarkEnd w:id="164"/>
    </w:p>
    <w:p w14:paraId="29EE5A67">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仪器安装、验收：中标人免费送达采购人指定地后，采购人通知后两周内进行安装调试及现场培训，直至通过验收。</w:t>
      </w:r>
    </w:p>
    <w:p w14:paraId="380ED7D1">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质保期：中标人至少提供2年质保期，自验收通过之日起计，质保期内所有服务全部免费。</w:t>
      </w:r>
    </w:p>
    <w:p w14:paraId="2C7A41D2">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4.3维修响应时间：中标人对采购人的服务要求应在2小时内响应；需要在现场进行维修的，应在2个工作日内到达仪器现场。</w:t>
      </w:r>
    </w:p>
    <w:p w14:paraId="693BE76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4.4培训：中标人免费对采购人技术人员的操作、维修、保养等方面进行培训，直至采购人独立操作和使用。</w:t>
      </w:r>
    </w:p>
    <w:p w14:paraId="3A2983FB">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5" w:name="_Toc28199"/>
      <w:r>
        <w:rPr>
          <w:rFonts w:hint="eastAsia" w:ascii="宋体" w:hAnsi="宋体" w:eastAsia="宋体" w:cs="宋体"/>
          <w:b/>
          <w:bCs/>
          <w:color w:val="auto"/>
          <w:sz w:val="24"/>
          <w:szCs w:val="24"/>
          <w:highlight w:val="none"/>
        </w:rPr>
        <w:t>五、验收技术参数指标</w:t>
      </w:r>
      <w:bookmarkEnd w:id="165"/>
    </w:p>
    <w:p w14:paraId="65B9100B">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5.1飞行器运输箱1个，电池箱1个，飞行电池2个，可视面板遥控器1个。</w:t>
      </w:r>
    </w:p>
    <w:p w14:paraId="5CDA3F85">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p>
    <w:p w14:paraId="31196AD3">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p>
    <w:p w14:paraId="3C98DFB7">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66" w:name="_Toc2185"/>
      <w:r>
        <w:rPr>
          <w:rFonts w:hint="eastAsia" w:ascii="宋体" w:hAnsi="宋体" w:eastAsia="宋体" w:cs="宋体"/>
          <w:color w:val="auto"/>
          <w:sz w:val="24"/>
          <w:szCs w:val="24"/>
          <w:highlight w:val="none"/>
          <w:lang w:val="en-US" w:eastAsia="zh-CN"/>
        </w:rPr>
        <w:t>无人机监测系统</w:t>
      </w:r>
      <w:bookmarkEnd w:id="166"/>
    </w:p>
    <w:p w14:paraId="4D4F2628">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7" w:name="_Toc7960"/>
      <w:r>
        <w:rPr>
          <w:rFonts w:hint="eastAsia" w:ascii="宋体" w:hAnsi="宋体" w:eastAsia="宋体" w:cs="宋体"/>
          <w:b/>
          <w:bCs/>
          <w:color w:val="auto"/>
          <w:sz w:val="24"/>
          <w:szCs w:val="24"/>
          <w:highlight w:val="none"/>
        </w:rPr>
        <w:t>一、基本要求</w:t>
      </w:r>
      <w:bookmarkEnd w:id="167"/>
    </w:p>
    <w:p w14:paraId="70779C1A">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适用于污染源执法排查和应急监测等场景，配备常规摄像、水质采样等功能模块。</w:t>
      </w:r>
    </w:p>
    <w:p w14:paraId="37AC8DE7">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8" w:name="_Toc3467"/>
      <w:r>
        <w:rPr>
          <w:rFonts w:hint="eastAsia" w:ascii="宋体" w:hAnsi="宋体" w:eastAsia="宋体" w:cs="宋体"/>
          <w:b/>
          <w:bCs/>
          <w:color w:val="auto"/>
          <w:sz w:val="24"/>
          <w:szCs w:val="24"/>
          <w:highlight w:val="none"/>
        </w:rPr>
        <w:t>二、技术参数</w:t>
      </w:r>
      <w:bookmarkEnd w:id="168"/>
    </w:p>
    <w:p w14:paraId="71CCA584">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对称电机轴距≤1000mm； </w:t>
      </w:r>
    </w:p>
    <w:p w14:paraId="52F6A78C">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最大上升速度≥6m/s；</w:t>
      </w:r>
    </w:p>
    <w:p w14:paraId="5B86839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最大下降速度≥5m/s；</w:t>
      </w:r>
    </w:p>
    <w:p w14:paraId="527340F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最大水平飞行速度≥15m/s；</w:t>
      </w:r>
    </w:p>
    <w:p w14:paraId="2A9079BC">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最大抗风速度≥10 m/s；</w:t>
      </w:r>
    </w:p>
    <w:p w14:paraId="039ADCA5">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最大飞行时间≥40 min；</w:t>
      </w:r>
    </w:p>
    <w:p w14:paraId="670F5405">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最大飞行海拔高度≥3000m。</w:t>
      </w:r>
    </w:p>
    <w:p w14:paraId="521738DB">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2.2悬停精度：垂直：±0.5 m（视觉系统±0.1 m）、水平：±1.5 m（视觉系统±0.3 m）；</w:t>
      </w:r>
    </w:p>
    <w:p w14:paraId="5FECF8C2">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最大载重≥2.5公斤，最大起飞重量≥8公斤。</w:t>
      </w:r>
    </w:p>
    <w:p w14:paraId="2110041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防护等级不小于IP55。</w:t>
      </w:r>
    </w:p>
    <w:p w14:paraId="7E79C97B">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2.5导航卫星系统采用北斗系统。</w:t>
      </w:r>
    </w:p>
    <w:p w14:paraId="21337FCD">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2.6下置双云台，可同时满足拍摄和采水功能。</w:t>
      </w:r>
    </w:p>
    <w:p w14:paraId="4FBAA8B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2.7便携遥控器屏幕尺寸不小于6 英寸，支持触屏操作，续航时间：≥6 小时。</w:t>
      </w:r>
    </w:p>
    <w:p w14:paraId="46E7A576">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2.8遥控器具备北斗系统定位，至少满足蓝牙5.1和WI-FI6协议。</w:t>
      </w:r>
    </w:p>
    <w:p w14:paraId="3FC37B0E">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▲2.9配置广角相机、长焦相机、激光测距仪、热成像相机，支持云台摄像联动，具备夜景模式。变焦至少满足20倍以上，有效像素≥20MP, 视频输出分辨率1920*1080/30p或以上，格式支持MP4；激光测距仪最大测量范围大于1000米；热成像相机具备测温功能。</w:t>
      </w:r>
    </w:p>
    <w:p w14:paraId="4954A41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2.10最大信号有效距离至少大于5公里。</w:t>
      </w:r>
    </w:p>
    <w:p w14:paraId="4F282F05">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▲2.11具备水质采样功能模块：采样容器缆绳10米或以上、单次采样水量最大支持1升或以上，具备定深功能，具备自动采样、自动脱线等功能。</w:t>
      </w:r>
    </w:p>
    <w:p w14:paraId="53A0A7C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2.12设置采样参数后，可实现起飞、采样、返航全过程自动完成，并记录相关采样信息。</w:t>
      </w:r>
    </w:p>
    <w:p w14:paraId="5551A31C">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▲2.13无人机定位系统和配套的地图软件能永久免费更新。</w:t>
      </w:r>
    </w:p>
    <w:p w14:paraId="37EB41E3">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69" w:name="_Toc31514"/>
      <w:r>
        <w:rPr>
          <w:rFonts w:hint="eastAsia" w:ascii="宋体" w:hAnsi="宋体" w:eastAsia="宋体" w:cs="宋体"/>
          <w:b/>
          <w:bCs/>
          <w:color w:val="auto"/>
          <w:sz w:val="24"/>
          <w:szCs w:val="24"/>
          <w:highlight w:val="none"/>
        </w:rPr>
        <w:t>三、配置要求</w:t>
      </w:r>
      <w:bookmarkEnd w:id="169"/>
    </w:p>
    <w:p w14:paraId="574B7DB3">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3.1无人机主机1套，智能飞行电池2套，保护运输箱1个，遥控器1套，遥控器电池2套，起落架、清洁、维修工具各1套；</w:t>
      </w:r>
    </w:p>
    <w:p w14:paraId="06222CE0">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3.2下置双平台1套，云台相机1套，采水系统1套；</w:t>
      </w:r>
    </w:p>
    <w:p w14:paraId="68202F9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无人机机损保险1份、第三者责任保险1份；</w:t>
      </w:r>
    </w:p>
    <w:p w14:paraId="35CF9A9D">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0" w:name="_Toc7464"/>
      <w:r>
        <w:rPr>
          <w:rFonts w:hint="eastAsia" w:ascii="宋体" w:hAnsi="宋体" w:eastAsia="宋体" w:cs="宋体"/>
          <w:b/>
          <w:bCs/>
          <w:color w:val="auto"/>
          <w:sz w:val="24"/>
          <w:szCs w:val="24"/>
          <w:highlight w:val="none"/>
        </w:rPr>
        <w:t>四、技术服务和培训</w:t>
      </w:r>
      <w:bookmarkEnd w:id="170"/>
    </w:p>
    <w:p w14:paraId="786B472F">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仪器安装、验收：中标人免费送达采购人指定地后，采购人通知后两周内进行安装调试及现场培训，直至通过验收。</w:t>
      </w:r>
    </w:p>
    <w:p w14:paraId="4696C13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质保期：中标人至少提供2年质保期，自验收通过之日起计，质保期内所有服务全部免费。</w:t>
      </w:r>
    </w:p>
    <w:p w14:paraId="207F77F5">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4.3维修响应时间：中标人对采购人的服务要求应在2小时内响应；需要在现场进行维修的，应在2个工作日内到达仪器现场。</w:t>
      </w:r>
    </w:p>
    <w:p w14:paraId="5529BA15">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培训：中标人免费对采购人技术人员的操作、维修、保养等方面进行培训，直至采购人独立操作和使用，免费提供至少2人的飞行驾驶培训，直到人员取得中国民用航空局或中国航空器拥有者及驾驶员协会的无人驾驶航空器系统操作手合格证为止。</w:t>
      </w:r>
    </w:p>
    <w:p w14:paraId="3CD4ADCB">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1" w:name="_Toc30329"/>
      <w:r>
        <w:rPr>
          <w:rFonts w:hint="eastAsia" w:ascii="宋体" w:hAnsi="宋体" w:eastAsia="宋体" w:cs="宋体"/>
          <w:b/>
          <w:bCs/>
          <w:color w:val="auto"/>
          <w:sz w:val="24"/>
          <w:szCs w:val="24"/>
          <w:highlight w:val="none"/>
        </w:rPr>
        <w:t>五、验收技术参数指标</w:t>
      </w:r>
      <w:bookmarkEnd w:id="171"/>
    </w:p>
    <w:p w14:paraId="461C0961">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5.1飞行器运输箱1个，电池箱1个，飞行电池2个，遥控器外接电池组1个。</w:t>
      </w:r>
    </w:p>
    <w:p w14:paraId="3CA0B6C4">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5.2可输出红外图像，视频格式MP4,分辨率至少满足640×512@30Hz,具备不少于5种模式的红外调色板，可显示测量温度。</w:t>
      </w:r>
    </w:p>
    <w:p w14:paraId="7C903F96">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5.3配置下置双云台，同时满足拍摄和采水功能。</w:t>
      </w:r>
    </w:p>
    <w:p w14:paraId="1BACD845">
      <w:pPr>
        <w:keepNext w:val="0"/>
        <w:keepLines w:val="0"/>
        <w:pageBreakBefore w:val="0"/>
        <w:widowControl w:val="0"/>
        <w:kinsoku/>
        <w:wordWrap/>
        <w:overflowPunct/>
        <w:topLinePunct w:val="0"/>
        <w:autoSpaceDE/>
        <w:autoSpaceDN/>
        <w:bidi w:val="0"/>
        <w:snapToGrid/>
        <w:spacing w:line="480" w:lineRule="exact"/>
        <w:ind w:firstLine="480" w:firstLineChars="200"/>
        <w:jc w:val="center"/>
        <w:rPr>
          <w:rFonts w:hint="eastAsia" w:ascii="宋体" w:hAnsi="宋体" w:eastAsia="宋体" w:cs="宋体"/>
          <w:color w:val="auto"/>
          <w:sz w:val="24"/>
          <w:szCs w:val="24"/>
          <w:highlight w:val="none"/>
        </w:rPr>
      </w:pPr>
    </w:p>
    <w:p w14:paraId="68EC91D3">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p>
    <w:p w14:paraId="42C55738">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72" w:name="_Toc32338"/>
      <w:r>
        <w:rPr>
          <w:rFonts w:hint="eastAsia" w:ascii="宋体" w:hAnsi="宋体" w:eastAsia="宋体" w:cs="宋体"/>
          <w:color w:val="auto"/>
          <w:sz w:val="24"/>
          <w:szCs w:val="24"/>
          <w:highlight w:val="none"/>
          <w:lang w:val="en-US" w:eastAsia="zh-CN"/>
        </w:rPr>
        <w:t>红外烟气分析仪</w:t>
      </w:r>
      <w:bookmarkEnd w:id="172"/>
    </w:p>
    <w:p w14:paraId="7B98CA8C">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3" w:name="_Toc10882"/>
      <w:r>
        <w:rPr>
          <w:rFonts w:hint="eastAsia" w:ascii="宋体" w:hAnsi="宋体" w:eastAsia="宋体" w:cs="宋体"/>
          <w:b/>
          <w:bCs/>
          <w:color w:val="auto"/>
          <w:sz w:val="24"/>
          <w:szCs w:val="24"/>
          <w:highlight w:val="none"/>
        </w:rPr>
        <w:t>一、基本要求</w:t>
      </w:r>
      <w:bookmarkEnd w:id="173"/>
    </w:p>
    <w:p w14:paraId="2F9F652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仪器用于固定污染源废气的监测，二氧化硫、一氧化氮、二氧化氮、一氧化碳、二氧化碳、甲烷、丙烷采用非分散红外法，氧气采用定电位电解法，满足HJ/T 44、HJ/T397、HJ 629、HJ 692、HJ 870、HJ 973标准要求。</w:t>
      </w:r>
    </w:p>
    <w:p w14:paraId="10F87298">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4" w:name="_Toc16276"/>
      <w:r>
        <w:rPr>
          <w:rFonts w:hint="eastAsia" w:ascii="宋体" w:hAnsi="宋体" w:eastAsia="宋体" w:cs="宋体"/>
          <w:b/>
          <w:bCs/>
          <w:color w:val="auto"/>
          <w:sz w:val="24"/>
          <w:szCs w:val="24"/>
          <w:highlight w:val="none"/>
        </w:rPr>
        <w:t>二、技术参数</w:t>
      </w:r>
      <w:bookmarkEnd w:id="174"/>
    </w:p>
    <w:p w14:paraId="2650FA80">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氧气采用电化学传感器。</w:t>
      </w:r>
    </w:p>
    <w:p w14:paraId="0BA6CCB5">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2.2烟气温度量程0～800 ℃，示值误差≤±2℃。</w:t>
      </w:r>
    </w:p>
    <w:p w14:paraId="1907E4D1">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2.3采样管加热及保温温度至少160℃，温度值可调节和查询。</w:t>
      </w:r>
    </w:p>
    <w:p w14:paraId="5EE1EE15">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量程及分辨率</w:t>
      </w:r>
    </w:p>
    <w:p w14:paraId="1C777266">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O2量程：至少0～25%，分辨率不高于0.01%</w:t>
      </w:r>
    </w:p>
    <w:p w14:paraId="2D6C7392">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NO量程：至少0～1000 ppm，分辨率不高于0.1 ppm</w:t>
      </w:r>
    </w:p>
    <w:p w14:paraId="349A6A94">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NO2量程：至少0～500ppm，分辨率不高于0.1 ppm</w:t>
      </w:r>
    </w:p>
    <w:p w14:paraId="22F76EA2">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SO2量程：至少0～500ppm，分辨率不高于0.1 ppm</w:t>
      </w:r>
    </w:p>
    <w:p w14:paraId="095BFF8B">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CO2量程：至少0～10%，分辨率不高于0.01%</w:t>
      </w:r>
    </w:p>
    <w:p w14:paraId="29671DF0">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CO量程：至少0～10000 ppm，分辨率不高于0.1 ppm</w:t>
      </w:r>
    </w:p>
    <w:p w14:paraId="73F43AA1">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CH4量程：至少0～3000ppm，分辨率不高于0.1 ppm</w:t>
      </w:r>
    </w:p>
    <w:p w14:paraId="7B7A2666">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C3H8量程：至少0～3000ppm，分辨率不高于0.1 ppm</w:t>
      </w:r>
    </w:p>
    <w:p w14:paraId="18201742">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▲2.5示值误差、系统偏差、零点漂移、量程漂移优于±5%。测量重复性</w:t>
      </w:r>
      <w:r>
        <w:rPr>
          <w:rFonts w:hint="eastAsia" w:ascii="宋体" w:hAnsi="宋体" w:eastAsia="宋体" w:cs="宋体"/>
          <w:color w:val="auto"/>
          <w:sz w:val="24"/>
          <w:szCs w:val="24"/>
          <w:highlight w:val="none"/>
          <w:lang w:val="en-GB"/>
        </w:rPr>
        <w:t>优于±2.0%。</w:t>
      </w:r>
    </w:p>
    <w:p w14:paraId="222910BA">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差压（±120hpa），压力传感器，精度：±0.02hpa或1%读数。</w:t>
      </w:r>
    </w:p>
    <w:p w14:paraId="1C736991">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流速（1～100m/s），精度：1m/s或者1%读数。</w:t>
      </w:r>
    </w:p>
    <w:p w14:paraId="12A5A9C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2.8具有抗负压能力。</w:t>
      </w:r>
    </w:p>
    <w:p w14:paraId="786F29C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▲2.9 </w:t>
      </w:r>
      <w:bookmarkStart w:id="175" w:name="_Hlk128078867"/>
      <w:r>
        <w:rPr>
          <w:rFonts w:hint="eastAsia" w:ascii="宋体" w:hAnsi="宋体" w:eastAsia="宋体" w:cs="宋体"/>
          <w:color w:val="auto"/>
          <w:sz w:val="24"/>
          <w:szCs w:val="24"/>
          <w:highlight w:val="none"/>
        </w:rPr>
        <w:t>配备气体冷却器，制冷器工作温度不高于5℃</w:t>
      </w:r>
      <w:bookmarkEnd w:id="175"/>
      <w:r>
        <w:rPr>
          <w:rFonts w:hint="eastAsia" w:ascii="宋体" w:hAnsi="宋体" w:eastAsia="宋体" w:cs="宋体"/>
          <w:color w:val="auto"/>
          <w:sz w:val="24"/>
          <w:szCs w:val="24"/>
          <w:highlight w:val="none"/>
        </w:rPr>
        <w:t>。</w:t>
      </w:r>
    </w:p>
    <w:p w14:paraId="5BA2CC79">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2.10整机一体化设计，包含测量单元和预处理器。</w:t>
      </w:r>
    </w:p>
    <w:p w14:paraId="0F8B30AD">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2.11具备自动反吹和故障自动检测、报警功能。</w:t>
      </w:r>
    </w:p>
    <w:p w14:paraId="69D713D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具备烟气检测超量程报警功能。</w:t>
      </w:r>
    </w:p>
    <w:p w14:paraId="7B212BBE">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可安装手机APP,实现远程控制。</w:t>
      </w:r>
    </w:p>
    <w:p w14:paraId="5F8D1EC0">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6" w:name="_Toc6061"/>
      <w:r>
        <w:rPr>
          <w:rFonts w:hint="eastAsia" w:ascii="宋体" w:hAnsi="宋体" w:eastAsia="宋体" w:cs="宋体"/>
          <w:b/>
          <w:bCs/>
          <w:color w:val="auto"/>
          <w:sz w:val="24"/>
          <w:szCs w:val="24"/>
          <w:highlight w:val="none"/>
        </w:rPr>
        <w:t>三、配置要求</w:t>
      </w:r>
      <w:bookmarkEnd w:id="176"/>
    </w:p>
    <w:p w14:paraId="43E191CD">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3.1烟气分析仪主机、内含CO（红外法）、CO2（红外法）、SO2（红外法）、NO（红外法）、NO2（红外法）、CH4（红外法）、C3H8（红外法）O2（电化学法）传感器。</w:t>
      </w:r>
    </w:p>
    <w:p w14:paraId="3FA34E73">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加热采样管线不低于3m；辅材(环境温度探头、排水软管不低于1m、标定软管不低于3m（如有）、过滤玻璃纤维棉、电源线等)。</w:t>
      </w:r>
    </w:p>
    <w:p w14:paraId="22FEE09A">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7" w:name="_Toc8420"/>
      <w:r>
        <w:rPr>
          <w:rFonts w:hint="eastAsia" w:ascii="宋体" w:hAnsi="宋体" w:eastAsia="宋体" w:cs="宋体"/>
          <w:b/>
          <w:bCs/>
          <w:color w:val="auto"/>
          <w:sz w:val="24"/>
          <w:szCs w:val="24"/>
          <w:highlight w:val="none"/>
        </w:rPr>
        <w:t>四、技术服务和培训</w:t>
      </w:r>
      <w:bookmarkEnd w:id="177"/>
    </w:p>
    <w:p w14:paraId="26FB4133">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仪器安装、验收：中标人免费送达采购人指定地后，采购人通知后两周内进行安装调试及现场培训，直至通过验收，提供校准或检定证书。</w:t>
      </w:r>
    </w:p>
    <w:p w14:paraId="1000FF6C">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质保期：中标人至少提供2年质保期，自验收通过之日起计，质保期内所有服务全部免费。</w:t>
      </w:r>
    </w:p>
    <w:p w14:paraId="11538710">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4.3维修响应时间：中标人对采购人的服务要求应在2小时内响应；需要在现场进行维修的，应在2个工作日内到达仪器现场。</w:t>
      </w:r>
    </w:p>
    <w:p w14:paraId="4C712676">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78" w:name="_Toc2664"/>
      <w:r>
        <w:rPr>
          <w:rFonts w:hint="eastAsia" w:ascii="宋体" w:hAnsi="宋体" w:eastAsia="宋体" w:cs="宋体"/>
          <w:b/>
          <w:bCs/>
          <w:color w:val="auto"/>
          <w:sz w:val="24"/>
          <w:szCs w:val="24"/>
          <w:highlight w:val="none"/>
        </w:rPr>
        <w:t>五、验收技术参数指标</w:t>
      </w:r>
      <w:bookmarkEnd w:id="178"/>
    </w:p>
    <w:p w14:paraId="2BDD58CE">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GB"/>
        </w:rPr>
        <w:t>示值误差≤±5%（仪器运行稳定后，依次通入标气待数据稳定后，计算示值误差，SO2、</w:t>
      </w:r>
      <w:r>
        <w:rPr>
          <w:rFonts w:hint="eastAsia" w:ascii="宋体" w:hAnsi="宋体" w:eastAsia="宋体" w:cs="宋体"/>
          <w:color w:val="auto"/>
          <w:sz w:val="24"/>
          <w:szCs w:val="24"/>
          <w:highlight w:val="none"/>
        </w:rPr>
        <w:t>CO</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CH4</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C3H8</w:t>
      </w:r>
      <w:r>
        <w:rPr>
          <w:rFonts w:hint="eastAsia" w:ascii="宋体" w:hAnsi="宋体" w:eastAsia="宋体" w:cs="宋体"/>
          <w:color w:val="auto"/>
          <w:sz w:val="24"/>
          <w:szCs w:val="24"/>
          <w:highlight w:val="none"/>
          <w:lang w:val="en-GB"/>
        </w:rPr>
        <w:t>标气浓度50ppm左右，</w:t>
      </w:r>
      <w:r>
        <w:rPr>
          <w:rFonts w:hint="eastAsia" w:ascii="宋体" w:hAnsi="宋体" w:eastAsia="宋体" w:cs="宋体"/>
          <w:color w:val="auto"/>
          <w:sz w:val="24"/>
          <w:szCs w:val="24"/>
          <w:highlight w:val="none"/>
        </w:rPr>
        <w:t>CO2</w:t>
      </w:r>
      <w:r>
        <w:rPr>
          <w:rFonts w:hint="eastAsia" w:ascii="宋体" w:hAnsi="宋体" w:eastAsia="宋体" w:cs="宋体"/>
          <w:color w:val="auto"/>
          <w:sz w:val="24"/>
          <w:szCs w:val="24"/>
          <w:highlight w:val="none"/>
          <w:lang w:val="en-GB"/>
        </w:rPr>
        <w:t>标气浓度15%左右）</w:t>
      </w:r>
    </w:p>
    <w:p w14:paraId="65A4ABCD">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5.2定量测量重复性≤±2.0%（仪器运行稳定后，依次通入标气，待示值稳定后记录所有测量组分的示值，SO2、</w:t>
      </w:r>
      <w:r>
        <w:rPr>
          <w:rFonts w:hint="eastAsia" w:ascii="宋体" w:hAnsi="宋体" w:eastAsia="宋体" w:cs="宋体"/>
          <w:color w:val="auto"/>
          <w:sz w:val="24"/>
          <w:szCs w:val="24"/>
          <w:highlight w:val="none"/>
        </w:rPr>
        <w:t>CO</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CH4</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C3H8</w:t>
      </w:r>
      <w:r>
        <w:rPr>
          <w:rFonts w:hint="eastAsia" w:ascii="宋体" w:hAnsi="宋体" w:eastAsia="宋体" w:cs="宋体"/>
          <w:color w:val="auto"/>
          <w:sz w:val="24"/>
          <w:szCs w:val="24"/>
          <w:highlight w:val="none"/>
          <w:lang w:val="en-GB"/>
        </w:rPr>
        <w:t>标气浓度50ppm左右，</w:t>
      </w:r>
      <w:r>
        <w:rPr>
          <w:rFonts w:hint="eastAsia" w:ascii="宋体" w:hAnsi="宋体" w:eastAsia="宋体" w:cs="宋体"/>
          <w:color w:val="auto"/>
          <w:sz w:val="24"/>
          <w:szCs w:val="24"/>
          <w:highlight w:val="none"/>
        </w:rPr>
        <w:t>CO2</w:t>
      </w:r>
      <w:r>
        <w:rPr>
          <w:rFonts w:hint="eastAsia" w:ascii="宋体" w:hAnsi="宋体" w:eastAsia="宋体" w:cs="宋体"/>
          <w:color w:val="auto"/>
          <w:sz w:val="24"/>
          <w:szCs w:val="24"/>
          <w:highlight w:val="none"/>
          <w:lang w:val="en-GB"/>
        </w:rPr>
        <w:t>标气浓度15%左右，使用同一浓度校准气重复上述测试操作，至少 6 次，计算重复性）</w:t>
      </w:r>
    </w:p>
    <w:p w14:paraId="795FD6EC">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5.3提供检定/校准证书。</w:t>
      </w:r>
    </w:p>
    <w:p w14:paraId="579593C6">
      <w:pPr>
        <w:keepNext w:val="0"/>
        <w:keepLines w:val="0"/>
        <w:pageBreakBefore w:val="0"/>
        <w:widowControl w:val="0"/>
        <w:kinsoku/>
        <w:wordWrap/>
        <w:overflowPunct/>
        <w:topLinePunct w:val="0"/>
        <w:autoSpaceDE/>
        <w:autoSpaceDN/>
        <w:bidi w:val="0"/>
        <w:snapToGrid/>
        <w:spacing w:line="480" w:lineRule="exact"/>
        <w:ind w:firstLine="482" w:firstLineChars="200"/>
        <w:jc w:val="center"/>
        <w:rPr>
          <w:rFonts w:hint="eastAsia" w:ascii="宋体" w:hAnsi="宋体" w:eastAsia="宋体" w:cs="宋体"/>
          <w:b/>
          <w:bCs/>
          <w:color w:val="auto"/>
          <w:kern w:val="0"/>
          <w:sz w:val="24"/>
          <w:szCs w:val="24"/>
          <w:highlight w:val="none"/>
        </w:rPr>
      </w:pPr>
    </w:p>
    <w:p w14:paraId="0934741F">
      <w:pPr>
        <w:keepNext w:val="0"/>
        <w:keepLines w:val="0"/>
        <w:pageBreakBefore w:val="0"/>
        <w:widowControl w:val="0"/>
        <w:kinsoku/>
        <w:wordWrap/>
        <w:overflowPunct/>
        <w:topLinePunct w:val="0"/>
        <w:autoSpaceDE/>
        <w:autoSpaceDN/>
        <w:bidi w:val="0"/>
        <w:snapToGrid/>
        <w:spacing w:line="480" w:lineRule="exact"/>
        <w:ind w:firstLine="482" w:firstLineChars="200"/>
        <w:jc w:val="center"/>
        <w:rPr>
          <w:rFonts w:hint="eastAsia" w:ascii="宋体" w:hAnsi="宋体" w:eastAsia="宋体" w:cs="宋体"/>
          <w:b/>
          <w:bCs/>
          <w:color w:val="auto"/>
          <w:kern w:val="0"/>
          <w:sz w:val="24"/>
          <w:szCs w:val="24"/>
          <w:highlight w:val="none"/>
        </w:rPr>
      </w:pPr>
    </w:p>
    <w:p w14:paraId="02C976CD">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79" w:name="_Toc1753"/>
      <w:r>
        <w:rPr>
          <w:rFonts w:hint="eastAsia" w:ascii="宋体" w:hAnsi="宋体" w:eastAsia="宋体" w:cs="宋体"/>
          <w:color w:val="auto"/>
          <w:sz w:val="24"/>
          <w:szCs w:val="24"/>
          <w:highlight w:val="none"/>
          <w:lang w:val="en-US" w:eastAsia="zh-CN"/>
        </w:rPr>
        <w:t>便携式颗粒物分析仪</w:t>
      </w:r>
      <w:bookmarkEnd w:id="179"/>
    </w:p>
    <w:p w14:paraId="2220FCF4">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lang w:val="en-US" w:eastAsia="zh-CN"/>
        </w:rPr>
      </w:pPr>
      <w:bookmarkStart w:id="180" w:name="_Toc23233"/>
      <w:r>
        <w:rPr>
          <w:rFonts w:hint="eastAsia" w:ascii="宋体" w:hAnsi="宋体" w:eastAsia="宋体" w:cs="宋体"/>
          <w:b/>
          <w:bCs/>
          <w:color w:val="auto"/>
          <w:sz w:val="24"/>
          <w:szCs w:val="24"/>
          <w:highlight w:val="none"/>
          <w:lang w:val="en-US" w:eastAsia="zh-CN"/>
        </w:rPr>
        <w:t>一、基本要求</w:t>
      </w:r>
      <w:bookmarkEnd w:id="180"/>
    </w:p>
    <w:p w14:paraId="6694CE3E">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适用于环境空气、室内空气、洁净空间等多场景的测试，分析不同粒径颗粒物的分布情况。</w:t>
      </w:r>
    </w:p>
    <w:p w14:paraId="75B903CD">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1" w:name="_Toc16836"/>
      <w:r>
        <w:rPr>
          <w:rFonts w:hint="eastAsia" w:ascii="宋体" w:hAnsi="宋体" w:eastAsia="宋体" w:cs="宋体"/>
          <w:b/>
          <w:bCs/>
          <w:color w:val="auto"/>
          <w:sz w:val="24"/>
          <w:szCs w:val="24"/>
          <w:highlight w:val="none"/>
        </w:rPr>
        <w:t>二、技术参数</w:t>
      </w:r>
      <w:bookmarkEnd w:id="181"/>
    </w:p>
    <w:p w14:paraId="55D3C329">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光散射原理</w:t>
      </w:r>
    </w:p>
    <w:p w14:paraId="37F2E71E">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▲2.2粒径量程：0.5μm-25μm，不低于六通道粒径同时检测，并可自定义（10μm以下）各通道粒径。</w:t>
      </w:r>
    </w:p>
    <w:p w14:paraId="7C9940F6">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2.3仪器内设PHA脉冲幅度分析器。</w:t>
      </w:r>
    </w:p>
    <w:p w14:paraId="1E5E201F">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2.4可查看并切换粒子计数和质量浓度（μg/m3）。</w:t>
      </w:r>
    </w:p>
    <w:p w14:paraId="1C02F764">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2.5计数效率：≥0.45μm时为100%。</w:t>
      </w:r>
    </w:p>
    <w:p w14:paraId="38D97EA9">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测量范围：0.001-10mg/m3。</w:t>
      </w:r>
    </w:p>
    <w:p w14:paraId="0ADCF03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2.7可设定颗粒物的光折射率、颗粒物密度等参数。</w:t>
      </w:r>
    </w:p>
    <w:p w14:paraId="58F91BA4">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2.8温度传感器，量程0-50℃，准确度±0.5℃。</w:t>
      </w:r>
    </w:p>
    <w:p w14:paraId="67A6475B">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2.9相对湿度传感器，量程20-90%，准确度±2%。</w:t>
      </w:r>
    </w:p>
    <w:p w14:paraId="710C53A9">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 内置报警功能。</w:t>
      </w:r>
    </w:p>
    <w:p w14:paraId="00F25FE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设备支持远程测试、控制、诊断和技术支持。</w:t>
      </w:r>
    </w:p>
    <w:p w14:paraId="6D56BF5E">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自带数据分析软件，可输出成各类图表及Excel表格。</w:t>
      </w:r>
    </w:p>
    <w:p w14:paraId="33F862C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电池满电情况下检测时长不低于8小时。</w:t>
      </w:r>
    </w:p>
    <w:p w14:paraId="5AF315D5">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2" w:name="_Toc18200"/>
      <w:r>
        <w:rPr>
          <w:rFonts w:hint="eastAsia" w:ascii="宋体" w:hAnsi="宋体" w:eastAsia="宋体" w:cs="宋体"/>
          <w:b/>
          <w:bCs/>
          <w:color w:val="auto"/>
          <w:sz w:val="24"/>
          <w:szCs w:val="24"/>
          <w:highlight w:val="none"/>
        </w:rPr>
        <w:t>三、配置要求</w:t>
      </w:r>
      <w:bookmarkEnd w:id="182"/>
    </w:p>
    <w:p w14:paraId="3A997188">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主机1台，便携箱1个。</w:t>
      </w:r>
    </w:p>
    <w:p w14:paraId="2BA5507D">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3" w:name="_Toc9335"/>
      <w:r>
        <w:rPr>
          <w:rFonts w:hint="eastAsia" w:ascii="宋体" w:hAnsi="宋体" w:eastAsia="宋体" w:cs="宋体"/>
          <w:b/>
          <w:bCs/>
          <w:color w:val="auto"/>
          <w:sz w:val="24"/>
          <w:szCs w:val="24"/>
          <w:highlight w:val="none"/>
        </w:rPr>
        <w:t>四、技术服务和培训</w:t>
      </w:r>
      <w:bookmarkEnd w:id="183"/>
    </w:p>
    <w:p w14:paraId="000D9C56">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仪器质保期2年，自验收通过之日起计。</w:t>
      </w:r>
    </w:p>
    <w:p w14:paraId="25334950">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技术工程师上门安装并做操作培训，直到采购人技术人员全部掌握为止。</w:t>
      </w:r>
    </w:p>
    <w:p w14:paraId="3B905323">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协助用户进行仪器日常的维护，并定期回访。</w:t>
      </w:r>
    </w:p>
    <w:p w14:paraId="2AD23B5C">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4" w:name="_Toc12024"/>
      <w:r>
        <w:rPr>
          <w:rFonts w:hint="eastAsia" w:ascii="宋体" w:hAnsi="宋体" w:eastAsia="宋体" w:cs="宋体"/>
          <w:b/>
          <w:bCs/>
          <w:color w:val="auto"/>
          <w:sz w:val="24"/>
          <w:szCs w:val="24"/>
          <w:highlight w:val="none"/>
        </w:rPr>
        <w:t>五、验收技术参数指标</w:t>
      </w:r>
      <w:bookmarkEnd w:id="184"/>
    </w:p>
    <w:p w14:paraId="5E3C0380">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5.1主机1台、便携箱1。</w:t>
      </w:r>
    </w:p>
    <w:p w14:paraId="3F5F1F7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5.2六通道粒径、温湿度分析测试功能正常。</w:t>
      </w:r>
    </w:p>
    <w:p w14:paraId="2C93823A">
      <w:pPr>
        <w:keepNext w:val="0"/>
        <w:keepLines w:val="0"/>
        <w:pageBreakBefore w:val="0"/>
        <w:widowControl w:val="0"/>
        <w:kinsoku/>
        <w:wordWrap/>
        <w:overflowPunct/>
        <w:topLinePunct w:val="0"/>
        <w:autoSpaceDE/>
        <w:autoSpaceDN/>
        <w:bidi w:val="0"/>
        <w:snapToGrid/>
        <w:spacing w:line="480" w:lineRule="exact"/>
        <w:ind w:firstLine="480" w:firstLineChars="200"/>
        <w:jc w:val="center"/>
        <w:rPr>
          <w:rFonts w:hint="eastAsia" w:ascii="宋体" w:hAnsi="宋体" w:eastAsia="宋体" w:cs="宋体"/>
          <w:color w:val="auto"/>
          <w:sz w:val="24"/>
          <w:szCs w:val="24"/>
          <w:highlight w:val="none"/>
        </w:rPr>
      </w:pPr>
    </w:p>
    <w:p w14:paraId="431D36F7">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85" w:name="_Toc12182"/>
      <w:r>
        <w:rPr>
          <w:rFonts w:hint="eastAsia" w:ascii="宋体" w:hAnsi="宋体" w:eastAsia="宋体" w:cs="宋体"/>
          <w:color w:val="auto"/>
          <w:sz w:val="24"/>
          <w:szCs w:val="24"/>
          <w:highlight w:val="none"/>
          <w:lang w:val="en-US" w:eastAsia="zh-CN"/>
        </w:rPr>
        <w:t>全自动便携式紫外测油仪</w:t>
      </w:r>
      <w:bookmarkEnd w:id="185"/>
    </w:p>
    <w:p w14:paraId="63C26A00">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6" w:name="_Toc17209"/>
      <w:r>
        <w:rPr>
          <w:rFonts w:hint="eastAsia" w:ascii="宋体" w:hAnsi="宋体" w:eastAsia="宋体" w:cs="宋体"/>
          <w:b/>
          <w:bCs/>
          <w:color w:val="auto"/>
          <w:sz w:val="24"/>
          <w:szCs w:val="24"/>
          <w:highlight w:val="none"/>
        </w:rPr>
        <w:t>一、基本要求</w:t>
      </w:r>
      <w:bookmarkEnd w:id="186"/>
    </w:p>
    <w:p w14:paraId="34696847">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适用于突发环境污染事件中地表水、地下水、海水中石油类的测定，符合《水质石油类的测定紫外分光光度法（试行）》（HJ 970-2018）及《海洋监测规范第4部分：海水分析》（GB 17378.4-2007）方法相关要求。</w:t>
      </w:r>
    </w:p>
    <w:p w14:paraId="4AD2434F">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7" w:name="_Toc6023"/>
      <w:r>
        <w:rPr>
          <w:rFonts w:hint="eastAsia" w:ascii="宋体" w:hAnsi="宋体" w:eastAsia="宋体" w:cs="宋体"/>
          <w:b/>
          <w:bCs/>
          <w:color w:val="auto"/>
          <w:sz w:val="24"/>
          <w:szCs w:val="24"/>
          <w:highlight w:val="none"/>
        </w:rPr>
        <w:t>二、技术参数</w:t>
      </w:r>
      <w:bookmarkEnd w:id="187"/>
    </w:p>
    <w:p w14:paraId="7F6D0D87">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2.1一键式全自动分析操作，水样体积测量并输入、加试剂、萃取、分离、转移、测量全部自动完成。</w:t>
      </w:r>
    </w:p>
    <w:p w14:paraId="15AD0076">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▲2.2具备自动测量、自动读取水样体积功能，体积测量误差≤2%，精密注射器精确度优于±1%，准确度优于99%。</w:t>
      </w:r>
    </w:p>
    <w:p w14:paraId="28F771A1">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具备管路自动清洗功能，样品分析结束后自动清洗全流程管路。</w:t>
      </w:r>
    </w:p>
    <w:p w14:paraId="37CF0142">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硅酸镁柱自动切换功能。</w:t>
      </w:r>
    </w:p>
    <w:p w14:paraId="1B701DAA">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废液自动分离功能，具有废液回收装置。</w:t>
      </w:r>
    </w:p>
    <w:p w14:paraId="372ED0AF">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自动配置校准曲线，线性：r≥0.999。</w:t>
      </w:r>
    </w:p>
    <w:p w14:paraId="1A089FD2">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测量范围：0-60mg/L（超量程自动稀释）。</w:t>
      </w:r>
    </w:p>
    <w:p w14:paraId="57E7F163">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分辨率不小于0.001mg/L。</w:t>
      </w:r>
    </w:p>
    <w:p w14:paraId="78244258">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 检出限：≤0.005mg/L。</w:t>
      </w:r>
    </w:p>
    <w:p w14:paraId="221232F1">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 准确度：≤±2%。</w:t>
      </w:r>
    </w:p>
    <w:p w14:paraId="2F38FC87">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精密度：RSD≤2%。</w:t>
      </w:r>
    </w:p>
    <w:p w14:paraId="383C8AA1">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2.12 测量波长：225nm。</w:t>
      </w:r>
    </w:p>
    <w:p w14:paraId="059F1630">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8" w:name="_Toc23180"/>
      <w:r>
        <w:rPr>
          <w:rFonts w:hint="eastAsia" w:ascii="宋体" w:hAnsi="宋体" w:eastAsia="宋体" w:cs="宋体"/>
          <w:b/>
          <w:bCs/>
          <w:color w:val="auto"/>
          <w:sz w:val="24"/>
          <w:szCs w:val="24"/>
          <w:highlight w:val="none"/>
        </w:rPr>
        <w:t>三、配置要求</w:t>
      </w:r>
      <w:bookmarkEnd w:id="188"/>
    </w:p>
    <w:p w14:paraId="4322DECB">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3.1便携式测油仪一体机1套，专用采样箱1套；</w:t>
      </w:r>
    </w:p>
    <w:p w14:paraId="2BC9E3CB">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3.2水质采样器1个，250ML棕色试剂瓶（配孔）2个、400ML棕色试剂瓶（配孔）2个；废液瓶1个、废液桶1个；硅酸镁柱4根；过滤膜11mmPP(50/pk) 2包、隔水膜（10/PK）2包；棕色广口瓶30个。</w:t>
      </w:r>
    </w:p>
    <w:p w14:paraId="7B34B89C">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89" w:name="_Toc25889"/>
      <w:r>
        <w:rPr>
          <w:rFonts w:hint="eastAsia" w:ascii="宋体" w:hAnsi="宋体" w:eastAsia="宋体" w:cs="宋体"/>
          <w:b/>
          <w:bCs/>
          <w:color w:val="auto"/>
          <w:sz w:val="24"/>
          <w:szCs w:val="24"/>
          <w:highlight w:val="none"/>
        </w:rPr>
        <w:t>四、技术服务和培训</w:t>
      </w:r>
      <w:bookmarkEnd w:id="189"/>
    </w:p>
    <w:p w14:paraId="309B3F05">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仪器安装、验收：中标人免费送达采购人指定地后，采购人通知后两周内进行安装调试及现场培训，直至通过验收。</w:t>
      </w:r>
    </w:p>
    <w:p w14:paraId="4ECD7084">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仪器质保期2年，自验收通过之日起计。验收前提供第三方计量机构出具的检定/校准证书。</w:t>
      </w:r>
    </w:p>
    <w:p w14:paraId="3A625FA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4.3技术工程师上门安装并做操作培训，直到采购人技术人员全部掌握为止。</w:t>
      </w:r>
    </w:p>
    <w:p w14:paraId="6AFC727E">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4.4协助用户进行仪器日常的维护，并定期回访。</w:t>
      </w:r>
    </w:p>
    <w:p w14:paraId="71C12A08">
      <w:pPr>
        <w:keepNext w:val="0"/>
        <w:keepLines w:val="0"/>
        <w:pageBreakBefore w:val="0"/>
        <w:widowControl w:val="0"/>
        <w:tabs>
          <w:tab w:val="left" w:pos="3000"/>
        </w:tabs>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4.5软件免费升级。</w:t>
      </w:r>
    </w:p>
    <w:p w14:paraId="1A76623B">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90" w:name="_Toc20513"/>
      <w:r>
        <w:rPr>
          <w:rFonts w:hint="eastAsia" w:ascii="宋体" w:hAnsi="宋体" w:eastAsia="宋体" w:cs="宋体"/>
          <w:b/>
          <w:bCs/>
          <w:color w:val="auto"/>
          <w:sz w:val="24"/>
          <w:szCs w:val="24"/>
          <w:highlight w:val="none"/>
        </w:rPr>
        <w:t>五、验收技术参数指标</w:t>
      </w:r>
      <w:bookmarkEnd w:id="190"/>
    </w:p>
    <w:p w14:paraId="4AA32582">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5.1检出限≤0.005mg/L（n≥10），提供符合《环境监测分析方法标准制订技术导则》(HJ 168-2020)的检出限验证报告。（测试浓度为7.51mg/L）</w:t>
      </w:r>
    </w:p>
    <w:p w14:paraId="6FE2CF47">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5.2精密度RSD&lt;2%（n≥10），提供符合《环境监测分析方法标准制订技术导则》(HJ 168-2020)的精密度验证报告。（测试浓度为7.51mg/L）</w:t>
      </w:r>
    </w:p>
    <w:p w14:paraId="6B36DBF0">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5.3平均相对偏差≤±2%（n≥10），提供符合《环境监测分析方法标准制订技术导则》(HJ 168-2020)的正确度验证报告。（测试浓度为7.51mg/L）</w:t>
      </w:r>
    </w:p>
    <w:p w14:paraId="32A07DD9">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5.4提供检定/校准证书</w:t>
      </w:r>
    </w:p>
    <w:p w14:paraId="1D703C75">
      <w:pPr>
        <w:pStyle w:val="4"/>
        <w:keepNext w:val="0"/>
        <w:keepLines w:val="0"/>
        <w:pageBreakBefore w:val="0"/>
        <w:widowControl w:val="0"/>
        <w:numPr>
          <w:ilvl w:val="0"/>
          <w:numId w:val="5"/>
        </w:numPr>
        <w:kinsoku/>
        <w:wordWrap/>
        <w:overflowPunct/>
        <w:topLinePunct w:val="0"/>
        <w:autoSpaceDE/>
        <w:autoSpaceDN/>
        <w:bidi w:val="0"/>
        <w:snapToGrid/>
        <w:spacing w:before="0" w:line="480" w:lineRule="exact"/>
        <w:ind w:left="0" w:leftChars="0" w:firstLine="482" w:firstLineChars="200"/>
        <w:jc w:val="center"/>
        <w:outlineLvl w:val="1"/>
        <w:rPr>
          <w:rFonts w:hint="eastAsia" w:ascii="宋体" w:hAnsi="宋体" w:eastAsia="宋体" w:cs="宋体"/>
          <w:color w:val="auto"/>
          <w:sz w:val="24"/>
          <w:szCs w:val="24"/>
          <w:highlight w:val="none"/>
          <w:lang w:val="en-US" w:eastAsia="zh-CN"/>
        </w:rPr>
      </w:pPr>
      <w:bookmarkStart w:id="191" w:name="_Toc26165"/>
      <w:bookmarkStart w:id="192" w:name="_Toc11927"/>
      <w:r>
        <w:rPr>
          <w:rFonts w:hint="eastAsia" w:ascii="宋体" w:hAnsi="宋体" w:eastAsia="宋体" w:cs="宋体"/>
          <w:color w:val="auto"/>
          <w:sz w:val="24"/>
          <w:szCs w:val="24"/>
          <w:highlight w:val="none"/>
          <w:lang w:val="en-US" w:eastAsia="zh-CN"/>
        </w:rPr>
        <w:t>便携式X射线荧光光谱仪</w:t>
      </w:r>
      <w:bookmarkEnd w:id="191"/>
      <w:bookmarkEnd w:id="192"/>
    </w:p>
    <w:p w14:paraId="2F5F7B4F">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3ACF8BB3">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93" w:name="_Toc12683"/>
      <w:r>
        <w:rPr>
          <w:rFonts w:hint="eastAsia" w:ascii="宋体" w:hAnsi="宋体" w:eastAsia="宋体" w:cs="宋体"/>
          <w:b/>
          <w:bCs/>
          <w:color w:val="auto"/>
          <w:sz w:val="24"/>
          <w:szCs w:val="24"/>
          <w:highlight w:val="none"/>
        </w:rPr>
        <w:t>一、基本要求</w:t>
      </w:r>
      <w:bookmarkEnd w:id="193"/>
    </w:p>
    <w:p w14:paraId="472F12EA">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具有土壤、污水、地表水的分析模块，可对土壤、污水及地表水等样品中的重金属元素进行现场快速准确分析。</w:t>
      </w:r>
    </w:p>
    <w:p w14:paraId="73F58062">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94" w:name="_Toc22152"/>
      <w:r>
        <w:rPr>
          <w:rFonts w:hint="eastAsia" w:ascii="宋体" w:hAnsi="宋体" w:eastAsia="宋体" w:cs="宋体"/>
          <w:b/>
          <w:bCs/>
          <w:color w:val="auto"/>
          <w:sz w:val="24"/>
          <w:szCs w:val="24"/>
          <w:highlight w:val="none"/>
        </w:rPr>
        <w:t>二、技术参数</w:t>
      </w:r>
      <w:bookmarkEnd w:id="194"/>
    </w:p>
    <w:p w14:paraId="2C4B2697">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2.1X光管：管电压≤70kV，功率≤50W。</w:t>
      </w:r>
    </w:p>
    <w:p w14:paraId="5A14336A">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2.2内置土壤、污水和地表水等分析曲线。 </w:t>
      </w:r>
    </w:p>
    <w:p w14:paraId="54054B10">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2.3高性能MCA电子元件。</w:t>
      </w:r>
    </w:p>
    <w:p w14:paraId="6A1D91AE">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▲2.4进样方式：直接测定和膜富集技术测定（低浓度水样）。 </w:t>
      </w:r>
    </w:p>
    <w:p w14:paraId="0B6ABD7F">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bookmarkStart w:id="195" w:name="_Hlk155973964"/>
      <w:r>
        <w:rPr>
          <w:rFonts w:hint="eastAsia" w:ascii="宋体" w:hAnsi="宋体" w:eastAsia="宋体" w:cs="宋体"/>
          <w:color w:val="auto"/>
          <w:sz w:val="24"/>
          <w:szCs w:val="24"/>
          <w:highlight w:val="none"/>
        </w:rPr>
        <w:t>具备X射线辐射安全保护功能。</w:t>
      </w:r>
    </w:p>
    <w:bookmarkEnd w:id="195"/>
    <w:p w14:paraId="18F4593A">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2.6户外强光下可清晰显示，测量操作系统可实现样品谱图分析，自动进行元素定性、定量分析。</w:t>
      </w:r>
    </w:p>
    <w:p w14:paraId="710FC05D">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土壤定性分析模块，定量分析元素检出限满足：As≤1.0 mg/kg，Cd≤0.1mg/kg，Pb≤1.0mg/kg，Cr≤10mg/kg，Tl≤1.0mg/kg，Sb≤5.0mg/kg；相对标准偏差≤15%。</w:t>
      </w:r>
    </w:p>
    <w:p w14:paraId="045395C4">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水样定性分析模块，定量分析元素检出限满足：Cr≤3.0μg/L，Cd≤3.0μg/L，Pb≤3.0μg/L，Cu≤3.0μg/L，Zn≤3.0μg/L，Tl≤3.0μg/L、As≤2.0μg/L；相对标准偏差≤15%。</w:t>
      </w:r>
    </w:p>
    <w:p w14:paraId="15A53BE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 具有内置电池设计，在无法外接电源情况下满足可连续工作至少3小时以上。</w:t>
      </w:r>
    </w:p>
    <w:p w14:paraId="7EF89DA7">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96" w:name="_Toc23108"/>
      <w:r>
        <w:rPr>
          <w:rFonts w:hint="eastAsia" w:ascii="宋体" w:hAnsi="宋体" w:eastAsia="宋体" w:cs="宋体"/>
          <w:b/>
          <w:bCs/>
          <w:color w:val="auto"/>
          <w:sz w:val="24"/>
          <w:szCs w:val="24"/>
          <w:highlight w:val="none"/>
        </w:rPr>
        <w:t>三、主要配置</w:t>
      </w:r>
      <w:bookmarkEnd w:id="196"/>
    </w:p>
    <w:p w14:paraId="22C51677">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X射线荧光重金属分析仪主机1套；分析软件1套。</w:t>
      </w:r>
    </w:p>
    <w:p w14:paraId="7DFBA460">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3.2土壤样品前处理设备1套（土壤测试配件，样品杯40个）；水样前处理富集装置1套（含低浓度水样现场前处理膜2000张，高浓度水样杯30个）。</w:t>
      </w:r>
    </w:p>
    <w:p w14:paraId="39DDEC37">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3.3水样混合标液：5瓶（铅、镉、砷、铬、锡、铜、铁、锰、锌、镍、铝、锑、镁、硼、钡、锶、锂、镓、铋、铍、铊、钛、钒、钴等）。</w:t>
      </w:r>
    </w:p>
    <w:p w14:paraId="11BBBED8">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3.4土壤混合标样：5瓶（铅、镉、砷、铬、锡、铜、铁、锰、锌、镍、铝、锑、镁、硼、钡、锶、锂、镓、铋、铍、铊、钛、钒、钴等）。</w:t>
      </w:r>
    </w:p>
    <w:p w14:paraId="6A95152B">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数据处理系统1台（</w:t>
      </w:r>
      <w:r>
        <w:rPr>
          <w:rFonts w:hint="eastAsia" w:ascii="宋体" w:hAnsi="宋体" w:eastAsia="宋体" w:cs="宋体"/>
          <w:color w:val="auto"/>
          <w:sz w:val="24"/>
          <w:szCs w:val="24"/>
          <w:highlight w:val="none"/>
          <w:lang w:val="en-GB"/>
        </w:rPr>
        <w:t>优于13英寸触控屏，16G+512G、内置电池续航不少于8h</w:t>
      </w:r>
      <w:r>
        <w:rPr>
          <w:rFonts w:hint="eastAsia" w:ascii="宋体" w:hAnsi="宋体" w:eastAsia="宋体" w:cs="宋体"/>
          <w:color w:val="auto"/>
          <w:sz w:val="24"/>
          <w:szCs w:val="24"/>
          <w:highlight w:val="none"/>
        </w:rPr>
        <w:t>）。</w:t>
      </w:r>
    </w:p>
    <w:p w14:paraId="745A155E">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97" w:name="_Toc8160"/>
      <w:bookmarkStart w:id="198" w:name="_Hlk188355541"/>
      <w:r>
        <w:rPr>
          <w:rFonts w:hint="eastAsia" w:ascii="宋体" w:hAnsi="宋体" w:eastAsia="宋体" w:cs="宋体"/>
          <w:b/>
          <w:bCs/>
          <w:color w:val="auto"/>
          <w:sz w:val="24"/>
          <w:szCs w:val="24"/>
          <w:highlight w:val="none"/>
        </w:rPr>
        <w:t>四.其他要求</w:t>
      </w:r>
      <w:bookmarkEnd w:id="197"/>
    </w:p>
    <w:p w14:paraId="3EF2B5ED">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4.1质保期：原厂2年，质保期内免费提供维修服务和配件更换。</w:t>
      </w:r>
    </w:p>
    <w:p w14:paraId="003A2BD4">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4.2培训：提供仪器设备现场培训（包括仪器基本原理、操作使用及日常保养维护等）。</w:t>
      </w:r>
    </w:p>
    <w:bookmarkEnd w:id="198"/>
    <w:p w14:paraId="52B0189D">
      <w:pPr>
        <w:keepNext w:val="0"/>
        <w:keepLines w:val="0"/>
        <w:pageBreakBefore w:val="0"/>
        <w:widowControl w:val="0"/>
        <w:kinsoku/>
        <w:wordWrap/>
        <w:overflowPunct/>
        <w:topLinePunct w:val="0"/>
        <w:autoSpaceDE/>
        <w:autoSpaceDN/>
        <w:bidi w:val="0"/>
        <w:snapToGrid/>
        <w:spacing w:line="480" w:lineRule="exact"/>
        <w:ind w:firstLine="482" w:firstLineChars="200"/>
        <w:outlineLvl w:val="9"/>
        <w:rPr>
          <w:rFonts w:hint="eastAsia" w:ascii="宋体" w:hAnsi="宋体" w:eastAsia="宋体" w:cs="宋体"/>
          <w:b/>
          <w:bCs/>
          <w:color w:val="auto"/>
          <w:sz w:val="24"/>
          <w:szCs w:val="24"/>
          <w:highlight w:val="none"/>
        </w:rPr>
      </w:pPr>
      <w:bookmarkStart w:id="199" w:name="_Toc8654"/>
      <w:r>
        <w:rPr>
          <w:rFonts w:hint="eastAsia" w:ascii="宋体" w:hAnsi="宋体" w:eastAsia="宋体" w:cs="宋体"/>
          <w:b/>
          <w:bCs/>
          <w:color w:val="auto"/>
          <w:sz w:val="24"/>
          <w:szCs w:val="24"/>
          <w:highlight w:val="none"/>
        </w:rPr>
        <w:t>五、验收指标</w:t>
      </w:r>
      <w:bookmarkEnd w:id="199"/>
    </w:p>
    <w:p w14:paraId="48AD2C82">
      <w:pPr>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5.1主机测试低浓度的土壤、水样标准样品，其中 As、Cd、Pb、Cr至少满足相对标准偏差≤15%，Tl、Sb相对标准偏差≤30%；土壤样品检出限满足As≤1.0 mg/kg，Cd≤0.1mg/kg，Pb≤1.0mg/kg，Cr≤10mg/kg，Tl≤1.0mg/kg，Sb≤5.0mg/kg，水样品检出限满足Cr≤3.0μg/L，Cd≤3.0μg/L，Pb≤3.0μg/L，Cu≤3.0μg/L，Zn≤3.0μg/L，Tl≤3.0μg/L、As≤2.0μg/L。</w:t>
      </w:r>
    </w:p>
    <w:p w14:paraId="3691478D">
      <w:pPr>
        <w:pStyle w:val="33"/>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5.2水样混合标样5瓶，土壤混合标样5瓶，数据处理系统1台。</w:t>
      </w:r>
    </w:p>
    <w:p w14:paraId="5A885270">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3A981606">
      <w:pPr>
        <w:rPr>
          <w:rFonts w:eastAsia="仿宋"/>
          <w:color w:val="auto"/>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200" w:name="_Toc17753"/>
      <w:r>
        <w:rPr>
          <w:rFonts w:hint="eastAsia" w:ascii="宋体" w:hAnsi="宋体" w:eastAsia="宋体" w:cs="宋体"/>
          <w:color w:val="auto"/>
          <w:sz w:val="40"/>
          <w:szCs w:val="40"/>
          <w:highlight w:val="none"/>
        </w:rPr>
        <w:t>第六章  评标办法（综合评分法）</w:t>
      </w:r>
      <w:bookmarkEnd w:id="200"/>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43D9B3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2967FEA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31C6D92A">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636DAAD6">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3F20B1F1">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7B08B1A5">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7A646C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2DF6396A">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6382642E">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C6BFEF7">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0975B92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429F01C8">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31E1415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473FF8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3C2F86">
            <w:pPr>
              <w:rPr>
                <w:rFonts w:ascii="仿宋" w:hAnsi="仿宋" w:eastAsia="仿宋" w:cs="仿宋"/>
                <w:color w:val="auto"/>
                <w:szCs w:val="21"/>
                <w:highlight w:val="none"/>
              </w:rPr>
            </w:pPr>
          </w:p>
        </w:tc>
        <w:tc>
          <w:tcPr>
            <w:tcW w:w="781" w:type="dxa"/>
            <w:vMerge w:val="continue"/>
            <w:vAlign w:val="center"/>
          </w:tcPr>
          <w:p w14:paraId="76CA5E0C">
            <w:pPr>
              <w:spacing w:line="480" w:lineRule="auto"/>
              <w:jc w:val="center"/>
              <w:rPr>
                <w:rFonts w:ascii="仿宋" w:hAnsi="仿宋" w:eastAsia="仿宋" w:cs="仿宋"/>
                <w:color w:val="auto"/>
                <w:szCs w:val="21"/>
                <w:highlight w:val="none"/>
              </w:rPr>
            </w:pPr>
          </w:p>
        </w:tc>
        <w:tc>
          <w:tcPr>
            <w:tcW w:w="1753" w:type="dxa"/>
            <w:gridSpan w:val="2"/>
            <w:vAlign w:val="center"/>
          </w:tcPr>
          <w:p w14:paraId="67DDCCDD">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12EBC918">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3BA08ED0">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E647F4D">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1A616351">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774E2204">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2FA8B186">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8A59094">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2AE2B14A">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44F3904A">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2C06AAEC">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933872">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407E09">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600367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1DD04FB2">
            <w:pPr>
              <w:rPr>
                <w:rFonts w:ascii="仿宋" w:hAnsi="仿宋" w:eastAsia="仿宋" w:cs="仿宋"/>
                <w:color w:val="auto"/>
                <w:szCs w:val="21"/>
                <w:highlight w:val="none"/>
              </w:rPr>
            </w:pPr>
          </w:p>
        </w:tc>
        <w:tc>
          <w:tcPr>
            <w:tcW w:w="781" w:type="dxa"/>
            <w:vMerge w:val="continue"/>
            <w:vAlign w:val="center"/>
          </w:tcPr>
          <w:p w14:paraId="25289980">
            <w:pPr>
              <w:rPr>
                <w:rFonts w:ascii="仿宋" w:hAnsi="仿宋" w:eastAsia="仿宋" w:cs="仿宋"/>
                <w:color w:val="auto"/>
                <w:szCs w:val="21"/>
                <w:highlight w:val="none"/>
              </w:rPr>
            </w:pPr>
          </w:p>
        </w:tc>
        <w:tc>
          <w:tcPr>
            <w:tcW w:w="1084" w:type="dxa"/>
            <w:vMerge w:val="restart"/>
            <w:vAlign w:val="center"/>
          </w:tcPr>
          <w:p w14:paraId="202AE430">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4B4F75AD">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62D3E2FC">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0D810D1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满分15</w:t>
            </w:r>
            <w:r>
              <w:rPr>
                <w:rFonts w:hint="eastAsia" w:ascii="仿宋" w:hAnsi="仿宋" w:eastAsia="仿宋" w:cs="仿宋"/>
                <w:color w:val="auto"/>
                <w:szCs w:val="21"/>
                <w:highlight w:val="none"/>
              </w:rPr>
              <w:t>分；</w:t>
            </w:r>
          </w:p>
          <w:p w14:paraId="3E52A6BB">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的参数不满足招标要求的，扣1分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300DAD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7BE45CC8">
            <w:pPr>
              <w:rPr>
                <w:rFonts w:ascii="仿宋" w:hAnsi="仿宋" w:eastAsia="仿宋" w:cs="仿宋"/>
                <w:color w:val="auto"/>
                <w:szCs w:val="21"/>
                <w:highlight w:val="none"/>
              </w:rPr>
            </w:pPr>
          </w:p>
        </w:tc>
        <w:tc>
          <w:tcPr>
            <w:tcW w:w="781" w:type="dxa"/>
            <w:vMerge w:val="continue"/>
            <w:vAlign w:val="center"/>
          </w:tcPr>
          <w:p w14:paraId="78C9A022">
            <w:pPr>
              <w:rPr>
                <w:rFonts w:ascii="仿宋" w:hAnsi="仿宋" w:eastAsia="仿宋" w:cs="仿宋"/>
                <w:color w:val="auto"/>
                <w:szCs w:val="21"/>
                <w:highlight w:val="none"/>
              </w:rPr>
            </w:pPr>
          </w:p>
        </w:tc>
        <w:tc>
          <w:tcPr>
            <w:tcW w:w="1084" w:type="dxa"/>
            <w:vMerge w:val="continue"/>
            <w:vAlign w:val="center"/>
          </w:tcPr>
          <w:p w14:paraId="1476E555">
            <w:pPr>
              <w:snapToGrid w:val="0"/>
              <w:spacing w:line="360" w:lineRule="auto"/>
              <w:jc w:val="center"/>
              <w:rPr>
                <w:rFonts w:ascii="仿宋" w:hAnsi="仿宋" w:eastAsia="仿宋" w:cs="仿宋"/>
                <w:bCs/>
                <w:color w:val="auto"/>
                <w:szCs w:val="21"/>
                <w:highlight w:val="none"/>
              </w:rPr>
            </w:pPr>
          </w:p>
        </w:tc>
        <w:tc>
          <w:tcPr>
            <w:tcW w:w="669" w:type="dxa"/>
            <w:vAlign w:val="center"/>
          </w:tcPr>
          <w:p w14:paraId="737CEE82">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459B337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1B7F8A6C">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016F265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1B34249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56B96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784CF2BF">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3171E1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3C754D1D">
            <w:pPr>
              <w:rPr>
                <w:rFonts w:ascii="仿宋" w:hAnsi="仿宋" w:eastAsia="仿宋" w:cs="仿宋"/>
                <w:color w:val="auto"/>
                <w:szCs w:val="21"/>
                <w:highlight w:val="none"/>
              </w:rPr>
            </w:pPr>
          </w:p>
        </w:tc>
        <w:tc>
          <w:tcPr>
            <w:tcW w:w="781" w:type="dxa"/>
            <w:vMerge w:val="continue"/>
            <w:vAlign w:val="center"/>
          </w:tcPr>
          <w:p w14:paraId="75B20EE6">
            <w:pPr>
              <w:rPr>
                <w:rFonts w:ascii="仿宋" w:hAnsi="仿宋" w:eastAsia="仿宋" w:cs="仿宋"/>
                <w:color w:val="auto"/>
                <w:szCs w:val="21"/>
                <w:highlight w:val="none"/>
              </w:rPr>
            </w:pPr>
          </w:p>
        </w:tc>
        <w:tc>
          <w:tcPr>
            <w:tcW w:w="1084" w:type="dxa"/>
            <w:vMerge w:val="continue"/>
            <w:vAlign w:val="center"/>
          </w:tcPr>
          <w:p w14:paraId="647E273C">
            <w:pPr>
              <w:snapToGrid w:val="0"/>
              <w:spacing w:line="360" w:lineRule="auto"/>
              <w:jc w:val="center"/>
              <w:rPr>
                <w:rFonts w:ascii="仿宋" w:hAnsi="仿宋" w:eastAsia="仿宋" w:cs="仿宋"/>
                <w:bCs/>
                <w:color w:val="auto"/>
                <w:szCs w:val="21"/>
                <w:highlight w:val="none"/>
              </w:rPr>
            </w:pPr>
          </w:p>
        </w:tc>
        <w:tc>
          <w:tcPr>
            <w:tcW w:w="669" w:type="dxa"/>
            <w:vAlign w:val="center"/>
          </w:tcPr>
          <w:p w14:paraId="54C669D4">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2163B59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1BF8FADE">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3975AD3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61A808C7">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3ECEC5BA">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0DDB5D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41243B77">
            <w:pPr>
              <w:rPr>
                <w:rFonts w:ascii="仿宋" w:hAnsi="仿宋" w:eastAsia="仿宋" w:cs="仿宋"/>
                <w:color w:val="auto"/>
                <w:szCs w:val="21"/>
                <w:highlight w:val="none"/>
              </w:rPr>
            </w:pPr>
          </w:p>
        </w:tc>
        <w:tc>
          <w:tcPr>
            <w:tcW w:w="781" w:type="dxa"/>
            <w:vMerge w:val="continue"/>
            <w:vAlign w:val="center"/>
          </w:tcPr>
          <w:p w14:paraId="0C452137">
            <w:pPr>
              <w:rPr>
                <w:rFonts w:ascii="仿宋" w:hAnsi="仿宋" w:eastAsia="仿宋" w:cs="仿宋"/>
                <w:color w:val="auto"/>
                <w:szCs w:val="21"/>
                <w:highlight w:val="none"/>
              </w:rPr>
            </w:pPr>
          </w:p>
        </w:tc>
        <w:tc>
          <w:tcPr>
            <w:tcW w:w="1084" w:type="dxa"/>
            <w:vMerge w:val="restart"/>
            <w:vAlign w:val="center"/>
          </w:tcPr>
          <w:p w14:paraId="16D38BF6">
            <w:pPr>
              <w:pStyle w:val="85"/>
              <w:spacing w:line="340" w:lineRule="exact"/>
              <w:rPr>
                <w:rFonts w:ascii="仿宋" w:hAnsi="仿宋" w:eastAsia="仿宋" w:cs="仿宋"/>
                <w:color w:val="auto"/>
                <w:kern w:val="2"/>
                <w:sz w:val="21"/>
                <w:szCs w:val="21"/>
                <w:highlight w:val="none"/>
              </w:rPr>
            </w:pPr>
          </w:p>
          <w:p w14:paraId="786F0D4A">
            <w:pPr>
              <w:widowControl/>
              <w:jc w:val="center"/>
              <w:rPr>
                <w:rFonts w:ascii="仿宋" w:hAnsi="仿宋" w:eastAsia="仿宋" w:cs="仿宋"/>
                <w:color w:val="auto"/>
                <w:szCs w:val="21"/>
                <w:highlight w:val="none"/>
              </w:rPr>
            </w:pPr>
          </w:p>
          <w:p w14:paraId="73AE5931">
            <w:pPr>
              <w:widowControl/>
              <w:jc w:val="center"/>
              <w:rPr>
                <w:rFonts w:ascii="仿宋" w:hAnsi="仿宋" w:eastAsia="仿宋" w:cs="仿宋"/>
                <w:color w:val="auto"/>
                <w:szCs w:val="21"/>
                <w:highlight w:val="none"/>
              </w:rPr>
            </w:pPr>
          </w:p>
          <w:p w14:paraId="1A6E105C">
            <w:pPr>
              <w:widowControl/>
              <w:jc w:val="center"/>
              <w:rPr>
                <w:rFonts w:ascii="仿宋" w:hAnsi="仿宋" w:eastAsia="仿宋" w:cs="仿宋"/>
                <w:color w:val="auto"/>
                <w:szCs w:val="21"/>
                <w:highlight w:val="none"/>
              </w:rPr>
            </w:pPr>
          </w:p>
          <w:p w14:paraId="326A611A">
            <w:pPr>
              <w:widowControl/>
              <w:jc w:val="center"/>
              <w:rPr>
                <w:rFonts w:ascii="仿宋" w:hAnsi="仿宋" w:eastAsia="仿宋" w:cs="仿宋"/>
                <w:color w:val="auto"/>
                <w:szCs w:val="21"/>
                <w:highlight w:val="none"/>
              </w:rPr>
            </w:pPr>
          </w:p>
          <w:p w14:paraId="38BDCB61">
            <w:pPr>
              <w:widowControl/>
              <w:jc w:val="center"/>
              <w:rPr>
                <w:rFonts w:ascii="仿宋" w:hAnsi="仿宋" w:eastAsia="仿宋" w:cs="仿宋"/>
                <w:color w:val="auto"/>
                <w:szCs w:val="21"/>
                <w:highlight w:val="none"/>
              </w:rPr>
            </w:pPr>
          </w:p>
          <w:p w14:paraId="609D0A94">
            <w:pPr>
              <w:widowControl/>
              <w:jc w:val="center"/>
              <w:rPr>
                <w:rFonts w:ascii="仿宋" w:hAnsi="仿宋" w:eastAsia="仿宋" w:cs="仿宋"/>
                <w:color w:val="auto"/>
                <w:szCs w:val="21"/>
                <w:highlight w:val="none"/>
              </w:rPr>
            </w:pPr>
          </w:p>
          <w:p w14:paraId="3CC98837">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2FADC089">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Align w:val="center"/>
          </w:tcPr>
          <w:p w14:paraId="21C0326F">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第一个档次（15分）：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第二个档次（10分）：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第三个档次（5分）：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投标人每提供一份含有所投标核心产品近三年类似项目业绩证明材料的得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201" w:name="_Toc530405542"/>
      <w:bookmarkStart w:id="202" w:name="_Toc525998733"/>
    </w:p>
    <w:p w14:paraId="2356A63C">
      <w:pPr>
        <w:rPr>
          <w:b/>
          <w:color w:val="auto"/>
          <w:sz w:val="28"/>
          <w:szCs w:val="28"/>
          <w:highlight w:val="none"/>
        </w:rPr>
      </w:pPr>
      <w:r>
        <w:rPr>
          <w:rFonts w:hint="eastAsia"/>
          <w:b/>
          <w:color w:val="auto"/>
          <w:sz w:val="28"/>
          <w:szCs w:val="28"/>
          <w:highlight w:val="none"/>
        </w:rPr>
        <w:t>1、评标方法</w:t>
      </w:r>
      <w:bookmarkEnd w:id="201"/>
      <w:bookmarkEnd w:id="202"/>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470EC788">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203" w:name="_Toc530405543"/>
      <w:bookmarkStart w:id="204" w:name="_Toc525998734"/>
      <w:r>
        <w:rPr>
          <w:rFonts w:hint="eastAsia"/>
          <w:b/>
          <w:color w:val="auto"/>
          <w:sz w:val="28"/>
          <w:szCs w:val="28"/>
          <w:highlight w:val="none"/>
        </w:rPr>
        <w:t>2、评审标准</w:t>
      </w:r>
      <w:bookmarkEnd w:id="203"/>
      <w:bookmarkEnd w:id="204"/>
    </w:p>
    <w:p w14:paraId="553D3301">
      <w:pPr>
        <w:rPr>
          <w:rFonts w:ascii="宋体" w:hAnsi="宋体" w:cs="宋体"/>
          <w:color w:val="auto"/>
          <w:szCs w:val="28"/>
          <w:highlight w:val="none"/>
        </w:rPr>
      </w:pPr>
      <w:bookmarkStart w:id="205" w:name="_Toc525998735"/>
      <w:bookmarkStart w:id="206" w:name="_Toc530405544"/>
      <w:r>
        <w:rPr>
          <w:rFonts w:hint="eastAsia"/>
          <w:b/>
          <w:color w:val="auto"/>
          <w:sz w:val="28"/>
          <w:szCs w:val="28"/>
          <w:highlight w:val="none"/>
        </w:rPr>
        <w:t>2.1初步评审标准</w:t>
      </w:r>
      <w:bookmarkEnd w:id="205"/>
      <w:bookmarkEnd w:id="206"/>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4DA6FDC8">
      <w:pPr>
        <w:pStyle w:val="86"/>
        <w:spacing w:line="360" w:lineRule="auto"/>
        <w:ind w:firstLine="420" w:firstLineChars="200"/>
        <w:rPr>
          <w:rFonts w:hint="eastAsia" w:cs="Times New Roman"/>
          <w:b/>
          <w:bCs/>
          <w:color w:val="auto"/>
          <w:kern w:val="2"/>
          <w:sz w:val="21"/>
          <w:szCs w:val="21"/>
          <w:highlight w:val="none"/>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lang w:val="en-US" w:eastAsia="zh-CN"/>
        </w:rPr>
        <w:t>6标段</w:t>
      </w:r>
      <w:r>
        <w:rPr>
          <w:rFonts w:hint="eastAsia" w:cs="Times New Roman"/>
          <w:b/>
          <w:bCs/>
          <w:color w:val="auto"/>
          <w:kern w:val="2"/>
          <w:sz w:val="21"/>
          <w:szCs w:val="21"/>
          <w:highlight w:val="none"/>
        </w:rPr>
        <w:t>核心产品</w:t>
      </w:r>
      <w:bookmarkStart w:id="221" w:name="_GoBack"/>
      <w:bookmarkEnd w:id="221"/>
      <w:r>
        <w:rPr>
          <w:rFonts w:hint="eastAsia" w:cs="Times New Roman"/>
          <w:b/>
          <w:bCs/>
          <w:color w:val="auto"/>
          <w:kern w:val="2"/>
          <w:sz w:val="21"/>
          <w:szCs w:val="21"/>
          <w:highlight w:val="none"/>
        </w:rPr>
        <w:t>为：全自动便携式紫外测油仪</w:t>
      </w:r>
      <w:r>
        <w:rPr>
          <w:rFonts w:hint="eastAsia" w:cs="Times New Roman"/>
          <w:b/>
          <w:bCs/>
          <w:color w:val="auto"/>
          <w:kern w:val="2"/>
          <w:sz w:val="21"/>
          <w:szCs w:val="21"/>
          <w:highlight w:val="none"/>
          <w:lang w:eastAsia="zh-CN"/>
        </w:rPr>
        <w:t>、</w:t>
      </w:r>
      <w:r>
        <w:rPr>
          <w:rFonts w:hint="eastAsia" w:cs="Times New Roman"/>
          <w:b/>
          <w:bCs/>
          <w:color w:val="auto"/>
          <w:kern w:val="2"/>
          <w:sz w:val="21"/>
          <w:szCs w:val="21"/>
          <w:highlight w:val="none"/>
        </w:rPr>
        <w:t>便携式X射线荧光光谱仪</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207" w:name="_Toc525998736"/>
      <w:bookmarkStart w:id="208" w:name="_Toc530405545"/>
      <w:r>
        <w:rPr>
          <w:rFonts w:hint="eastAsia"/>
          <w:b/>
          <w:color w:val="auto"/>
          <w:sz w:val="28"/>
          <w:szCs w:val="28"/>
          <w:highlight w:val="none"/>
        </w:rPr>
        <w:t>2.2分值构成与评分标准</w:t>
      </w:r>
      <w:bookmarkEnd w:id="207"/>
      <w:bookmarkEnd w:id="208"/>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209" w:name="_Toc530405546"/>
      <w:bookmarkStart w:id="210" w:name="_Toc525998737"/>
      <w:r>
        <w:rPr>
          <w:rFonts w:hint="eastAsia"/>
          <w:b/>
          <w:color w:val="auto"/>
          <w:sz w:val="28"/>
          <w:szCs w:val="28"/>
          <w:highlight w:val="none"/>
        </w:rPr>
        <w:t>3、评标程序</w:t>
      </w:r>
      <w:bookmarkEnd w:id="209"/>
      <w:bookmarkEnd w:id="210"/>
    </w:p>
    <w:p w14:paraId="4CAB0E4C">
      <w:pPr>
        <w:rPr>
          <w:b/>
          <w:color w:val="auto"/>
          <w:sz w:val="28"/>
          <w:szCs w:val="28"/>
          <w:highlight w:val="none"/>
        </w:rPr>
      </w:pPr>
      <w:bookmarkStart w:id="211" w:name="_Toc525998738"/>
      <w:bookmarkStart w:id="212" w:name="_Toc530405547"/>
      <w:r>
        <w:rPr>
          <w:rFonts w:hint="eastAsia"/>
          <w:b/>
          <w:color w:val="auto"/>
          <w:sz w:val="28"/>
          <w:szCs w:val="28"/>
          <w:highlight w:val="none"/>
        </w:rPr>
        <w:t>3.1 初步评审</w:t>
      </w:r>
      <w:bookmarkEnd w:id="211"/>
      <w:bookmarkEnd w:id="212"/>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213" w:name="_Toc525998739"/>
      <w:bookmarkStart w:id="214" w:name="_Toc530405548"/>
      <w:r>
        <w:rPr>
          <w:rFonts w:hint="eastAsia"/>
          <w:b/>
          <w:color w:val="auto"/>
          <w:sz w:val="28"/>
          <w:szCs w:val="28"/>
          <w:highlight w:val="none"/>
        </w:rPr>
        <w:t>3.2 详细评审</w:t>
      </w:r>
      <w:bookmarkEnd w:id="213"/>
      <w:bookmarkEnd w:id="214"/>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215" w:name="_Toc525998740"/>
      <w:bookmarkStart w:id="216" w:name="_Toc530405549"/>
      <w:r>
        <w:rPr>
          <w:rFonts w:hint="eastAsia"/>
          <w:b/>
          <w:color w:val="auto"/>
          <w:sz w:val="28"/>
          <w:szCs w:val="28"/>
          <w:highlight w:val="none"/>
        </w:rPr>
        <w:t>3.3 投标文件的澄清和补正统计分数原则</w:t>
      </w:r>
      <w:bookmarkEnd w:id="215"/>
      <w:bookmarkEnd w:id="216"/>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217" w:name="_Toc530405550"/>
      <w:bookmarkStart w:id="218" w:name="_Toc525998741"/>
      <w:r>
        <w:rPr>
          <w:rFonts w:hint="eastAsia"/>
          <w:b/>
          <w:color w:val="auto"/>
          <w:sz w:val="28"/>
          <w:szCs w:val="28"/>
          <w:highlight w:val="none"/>
        </w:rPr>
        <w:t>3.4 评标结果</w:t>
      </w:r>
      <w:bookmarkEnd w:id="217"/>
      <w:bookmarkEnd w:id="218"/>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219" w:name="_Toc525998742"/>
      <w:bookmarkStart w:id="220" w:name="_Toc530405551"/>
      <w:r>
        <w:rPr>
          <w:rFonts w:hint="eastAsia"/>
          <w:b/>
          <w:color w:val="auto"/>
          <w:sz w:val="28"/>
          <w:szCs w:val="28"/>
          <w:highlight w:val="none"/>
        </w:rPr>
        <w:t>3.6 特殊情况</w:t>
      </w:r>
      <w:bookmarkEnd w:id="219"/>
      <w:bookmarkEnd w:id="220"/>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C3E90"/>
    <w:rsid w:val="01EF52DD"/>
    <w:rsid w:val="02051AE6"/>
    <w:rsid w:val="021358C1"/>
    <w:rsid w:val="02154165"/>
    <w:rsid w:val="021E019D"/>
    <w:rsid w:val="02235A2E"/>
    <w:rsid w:val="024B505A"/>
    <w:rsid w:val="02551A35"/>
    <w:rsid w:val="0273010D"/>
    <w:rsid w:val="02731105"/>
    <w:rsid w:val="02851D57"/>
    <w:rsid w:val="02887032"/>
    <w:rsid w:val="029E162E"/>
    <w:rsid w:val="02A824AD"/>
    <w:rsid w:val="02AB78A7"/>
    <w:rsid w:val="02B04EBD"/>
    <w:rsid w:val="02C1531D"/>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402271"/>
    <w:rsid w:val="0442423B"/>
    <w:rsid w:val="04504BAA"/>
    <w:rsid w:val="0466617C"/>
    <w:rsid w:val="046930FC"/>
    <w:rsid w:val="04846602"/>
    <w:rsid w:val="0491083B"/>
    <w:rsid w:val="04912689"/>
    <w:rsid w:val="049F51EA"/>
    <w:rsid w:val="04AC5B58"/>
    <w:rsid w:val="04AE66AC"/>
    <w:rsid w:val="04BC5B34"/>
    <w:rsid w:val="04D72BD5"/>
    <w:rsid w:val="04DC52CD"/>
    <w:rsid w:val="04E43544"/>
    <w:rsid w:val="04EB0364"/>
    <w:rsid w:val="04F449E4"/>
    <w:rsid w:val="04F74620"/>
    <w:rsid w:val="04FD1684"/>
    <w:rsid w:val="050C1D61"/>
    <w:rsid w:val="05191440"/>
    <w:rsid w:val="05333677"/>
    <w:rsid w:val="05434666"/>
    <w:rsid w:val="05465FAD"/>
    <w:rsid w:val="054E3A47"/>
    <w:rsid w:val="05536923"/>
    <w:rsid w:val="05752345"/>
    <w:rsid w:val="0580501B"/>
    <w:rsid w:val="059960DD"/>
    <w:rsid w:val="05A84572"/>
    <w:rsid w:val="05A8567B"/>
    <w:rsid w:val="05C869C2"/>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E37C8"/>
    <w:rsid w:val="08400A92"/>
    <w:rsid w:val="08444A26"/>
    <w:rsid w:val="0853529F"/>
    <w:rsid w:val="086329D2"/>
    <w:rsid w:val="087D7F38"/>
    <w:rsid w:val="088D524F"/>
    <w:rsid w:val="089833BF"/>
    <w:rsid w:val="089F4205"/>
    <w:rsid w:val="08A20DBC"/>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B5312"/>
    <w:rsid w:val="0A231514"/>
    <w:rsid w:val="0A341FAC"/>
    <w:rsid w:val="0A456E91"/>
    <w:rsid w:val="0A4A3E4A"/>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B579E9"/>
    <w:rsid w:val="0BCA3494"/>
    <w:rsid w:val="0BD80BDF"/>
    <w:rsid w:val="0C0B7609"/>
    <w:rsid w:val="0C177926"/>
    <w:rsid w:val="0C273F15"/>
    <w:rsid w:val="0C364685"/>
    <w:rsid w:val="0C3721AC"/>
    <w:rsid w:val="0C3D67FB"/>
    <w:rsid w:val="0C3E353A"/>
    <w:rsid w:val="0C6A5F0E"/>
    <w:rsid w:val="0C753B29"/>
    <w:rsid w:val="0C794029"/>
    <w:rsid w:val="0C886EAB"/>
    <w:rsid w:val="0C9C7F8B"/>
    <w:rsid w:val="0CA95389"/>
    <w:rsid w:val="0CB47CA0"/>
    <w:rsid w:val="0CD10852"/>
    <w:rsid w:val="0CDE6ACB"/>
    <w:rsid w:val="0CE149E6"/>
    <w:rsid w:val="0CE52E0B"/>
    <w:rsid w:val="0D03567D"/>
    <w:rsid w:val="0D110C4F"/>
    <w:rsid w:val="0D2C3980"/>
    <w:rsid w:val="0D3037CB"/>
    <w:rsid w:val="0D3A63F7"/>
    <w:rsid w:val="0D4153A9"/>
    <w:rsid w:val="0D447276"/>
    <w:rsid w:val="0D471D28"/>
    <w:rsid w:val="0D550D50"/>
    <w:rsid w:val="0D553580"/>
    <w:rsid w:val="0D5A43A4"/>
    <w:rsid w:val="0D5D077D"/>
    <w:rsid w:val="0D674D12"/>
    <w:rsid w:val="0D686865"/>
    <w:rsid w:val="0D7014B2"/>
    <w:rsid w:val="0D7468E1"/>
    <w:rsid w:val="0D766D04"/>
    <w:rsid w:val="0D786F20"/>
    <w:rsid w:val="0D7938A7"/>
    <w:rsid w:val="0D7A010E"/>
    <w:rsid w:val="0D8633EB"/>
    <w:rsid w:val="0DA970D9"/>
    <w:rsid w:val="0DBA3094"/>
    <w:rsid w:val="0DBD0513"/>
    <w:rsid w:val="0DDF0D4D"/>
    <w:rsid w:val="0DE35880"/>
    <w:rsid w:val="0DF20A80"/>
    <w:rsid w:val="0DF2282E"/>
    <w:rsid w:val="0DF90060"/>
    <w:rsid w:val="0E0F1632"/>
    <w:rsid w:val="0E1924B1"/>
    <w:rsid w:val="0E1C42D0"/>
    <w:rsid w:val="0E230C39"/>
    <w:rsid w:val="0E2B6B85"/>
    <w:rsid w:val="0E3177FA"/>
    <w:rsid w:val="0E333648"/>
    <w:rsid w:val="0E3A5F83"/>
    <w:rsid w:val="0E3F7CFE"/>
    <w:rsid w:val="0E4D2AA9"/>
    <w:rsid w:val="0E527771"/>
    <w:rsid w:val="0E5C414B"/>
    <w:rsid w:val="0E664FCA"/>
    <w:rsid w:val="0E6B25E0"/>
    <w:rsid w:val="0E83792A"/>
    <w:rsid w:val="0E8964A1"/>
    <w:rsid w:val="0E905D0D"/>
    <w:rsid w:val="0E9E29B6"/>
    <w:rsid w:val="0EA855E3"/>
    <w:rsid w:val="0EB905A1"/>
    <w:rsid w:val="0EC75DEA"/>
    <w:rsid w:val="0ECF491D"/>
    <w:rsid w:val="0EF425D6"/>
    <w:rsid w:val="0F0C791F"/>
    <w:rsid w:val="0F1A1821"/>
    <w:rsid w:val="0F1D7D7F"/>
    <w:rsid w:val="0F1F2264"/>
    <w:rsid w:val="0F3A3F41"/>
    <w:rsid w:val="0F4F5385"/>
    <w:rsid w:val="0F503CB0"/>
    <w:rsid w:val="0F586E52"/>
    <w:rsid w:val="0F632412"/>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B53BB0"/>
    <w:rsid w:val="10C1473A"/>
    <w:rsid w:val="10CA7A92"/>
    <w:rsid w:val="10DA1A3D"/>
    <w:rsid w:val="10E01064"/>
    <w:rsid w:val="10EB3666"/>
    <w:rsid w:val="10EC55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D458E"/>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F4AEF"/>
    <w:rsid w:val="129B3728"/>
    <w:rsid w:val="12A2465F"/>
    <w:rsid w:val="12A34042"/>
    <w:rsid w:val="12B10F0A"/>
    <w:rsid w:val="12CD386A"/>
    <w:rsid w:val="12E110C3"/>
    <w:rsid w:val="12EF1A32"/>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A0061"/>
    <w:rsid w:val="14E03E00"/>
    <w:rsid w:val="14E34E43"/>
    <w:rsid w:val="14E60C13"/>
    <w:rsid w:val="14EA425F"/>
    <w:rsid w:val="14F0383F"/>
    <w:rsid w:val="1505553D"/>
    <w:rsid w:val="151237B6"/>
    <w:rsid w:val="15192D96"/>
    <w:rsid w:val="15241BA7"/>
    <w:rsid w:val="152F6116"/>
    <w:rsid w:val="15316332"/>
    <w:rsid w:val="15393438"/>
    <w:rsid w:val="153B6599"/>
    <w:rsid w:val="153E45AB"/>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630D7"/>
    <w:rsid w:val="15F64E85"/>
    <w:rsid w:val="160F7318"/>
    <w:rsid w:val="16202E2C"/>
    <w:rsid w:val="16225B07"/>
    <w:rsid w:val="16360483"/>
    <w:rsid w:val="164976AB"/>
    <w:rsid w:val="1663076D"/>
    <w:rsid w:val="166B4FCB"/>
    <w:rsid w:val="167C0CF1"/>
    <w:rsid w:val="167F2368"/>
    <w:rsid w:val="1680548D"/>
    <w:rsid w:val="16810BF3"/>
    <w:rsid w:val="168523E1"/>
    <w:rsid w:val="16881F8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377504"/>
    <w:rsid w:val="173F382C"/>
    <w:rsid w:val="177E5849"/>
    <w:rsid w:val="1780534F"/>
    <w:rsid w:val="1783099B"/>
    <w:rsid w:val="178650AF"/>
    <w:rsid w:val="178E4F82"/>
    <w:rsid w:val="17C94CB6"/>
    <w:rsid w:val="17CC0543"/>
    <w:rsid w:val="17D60B0B"/>
    <w:rsid w:val="18153CE9"/>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12434"/>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002745"/>
    <w:rsid w:val="1D104A7F"/>
    <w:rsid w:val="1D1E2A0C"/>
    <w:rsid w:val="1D27744E"/>
    <w:rsid w:val="1D3D339A"/>
    <w:rsid w:val="1D536E09"/>
    <w:rsid w:val="1D537EC7"/>
    <w:rsid w:val="1D566B26"/>
    <w:rsid w:val="1D7BCAFD"/>
    <w:rsid w:val="1D81772B"/>
    <w:rsid w:val="1DA95CE9"/>
    <w:rsid w:val="1DAC0C4B"/>
    <w:rsid w:val="1DB00010"/>
    <w:rsid w:val="1DB16262"/>
    <w:rsid w:val="1DDB32DF"/>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893022"/>
    <w:rsid w:val="1EAF02C7"/>
    <w:rsid w:val="1EB07441"/>
    <w:rsid w:val="1EB37DB8"/>
    <w:rsid w:val="1EBF49AE"/>
    <w:rsid w:val="1ECF7290"/>
    <w:rsid w:val="1ED65854"/>
    <w:rsid w:val="1EE75CB3"/>
    <w:rsid w:val="1EFAB17A"/>
    <w:rsid w:val="1F032864"/>
    <w:rsid w:val="1F087540"/>
    <w:rsid w:val="1F176598"/>
    <w:rsid w:val="1F1840BF"/>
    <w:rsid w:val="1F23705C"/>
    <w:rsid w:val="1F264A2D"/>
    <w:rsid w:val="1F49081A"/>
    <w:rsid w:val="1F5F3A9B"/>
    <w:rsid w:val="1F6410B2"/>
    <w:rsid w:val="1F664788"/>
    <w:rsid w:val="1F6F0B2B"/>
    <w:rsid w:val="1F73605B"/>
    <w:rsid w:val="1F925C1F"/>
    <w:rsid w:val="1FB060A5"/>
    <w:rsid w:val="1FB42BFA"/>
    <w:rsid w:val="1FBA3A1C"/>
    <w:rsid w:val="1FC35DD8"/>
    <w:rsid w:val="1FC63B1B"/>
    <w:rsid w:val="1FCE6C7F"/>
    <w:rsid w:val="1FD91AA0"/>
    <w:rsid w:val="1FE30229"/>
    <w:rsid w:val="1FE401B3"/>
    <w:rsid w:val="1FF7A9FF"/>
    <w:rsid w:val="201F345A"/>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DA5DE6"/>
    <w:rsid w:val="23E136EE"/>
    <w:rsid w:val="23E24451"/>
    <w:rsid w:val="23E67A1B"/>
    <w:rsid w:val="23EE53EE"/>
    <w:rsid w:val="23EF1892"/>
    <w:rsid w:val="23F0560A"/>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BB43A9"/>
    <w:rsid w:val="24D10F97"/>
    <w:rsid w:val="24D807F5"/>
    <w:rsid w:val="24F42ED8"/>
    <w:rsid w:val="2502554B"/>
    <w:rsid w:val="250550E5"/>
    <w:rsid w:val="250C1FD0"/>
    <w:rsid w:val="250D098E"/>
    <w:rsid w:val="25154887"/>
    <w:rsid w:val="25493224"/>
    <w:rsid w:val="256A7C38"/>
    <w:rsid w:val="25731640"/>
    <w:rsid w:val="25736EB1"/>
    <w:rsid w:val="2582681B"/>
    <w:rsid w:val="25911D97"/>
    <w:rsid w:val="259C54CD"/>
    <w:rsid w:val="259C77F7"/>
    <w:rsid w:val="25B47EBF"/>
    <w:rsid w:val="25C842A7"/>
    <w:rsid w:val="25CC380E"/>
    <w:rsid w:val="25D44F4B"/>
    <w:rsid w:val="25DF5249"/>
    <w:rsid w:val="25E1520A"/>
    <w:rsid w:val="25FE7548"/>
    <w:rsid w:val="260158AC"/>
    <w:rsid w:val="261D1AC9"/>
    <w:rsid w:val="26282E39"/>
    <w:rsid w:val="2637307C"/>
    <w:rsid w:val="2646764E"/>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77272"/>
    <w:rsid w:val="276B0362"/>
    <w:rsid w:val="278B7B24"/>
    <w:rsid w:val="279B3ADF"/>
    <w:rsid w:val="27A24E6D"/>
    <w:rsid w:val="27B0FCB0"/>
    <w:rsid w:val="27C01B98"/>
    <w:rsid w:val="27D56233"/>
    <w:rsid w:val="27E40FE2"/>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D24728"/>
    <w:rsid w:val="2DDC3292"/>
    <w:rsid w:val="2DDF2977"/>
    <w:rsid w:val="2DE0049D"/>
    <w:rsid w:val="2DEE2BBA"/>
    <w:rsid w:val="2DF67CC1"/>
    <w:rsid w:val="2E1819E5"/>
    <w:rsid w:val="2E2465DC"/>
    <w:rsid w:val="2E424CB4"/>
    <w:rsid w:val="2E4541BA"/>
    <w:rsid w:val="2E474A29"/>
    <w:rsid w:val="2E4A5917"/>
    <w:rsid w:val="2E580034"/>
    <w:rsid w:val="2E715B2F"/>
    <w:rsid w:val="2E7A101C"/>
    <w:rsid w:val="2E8928E3"/>
    <w:rsid w:val="2E8E614B"/>
    <w:rsid w:val="2E943223"/>
    <w:rsid w:val="2E976DAE"/>
    <w:rsid w:val="2EB11B64"/>
    <w:rsid w:val="2EB436CF"/>
    <w:rsid w:val="2EB53854"/>
    <w:rsid w:val="2EB57234"/>
    <w:rsid w:val="2EC35DF5"/>
    <w:rsid w:val="2EC664C6"/>
    <w:rsid w:val="2EC8340B"/>
    <w:rsid w:val="2ED26038"/>
    <w:rsid w:val="2ED41331"/>
    <w:rsid w:val="2EE40E7F"/>
    <w:rsid w:val="2EEFD5FB"/>
    <w:rsid w:val="2EF064BE"/>
    <w:rsid w:val="2EFA558F"/>
    <w:rsid w:val="2F05640D"/>
    <w:rsid w:val="2F070BB8"/>
    <w:rsid w:val="2F196618"/>
    <w:rsid w:val="2F1D0279"/>
    <w:rsid w:val="2F206A1F"/>
    <w:rsid w:val="2F243559"/>
    <w:rsid w:val="2F286DD9"/>
    <w:rsid w:val="2F307202"/>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20A05B3"/>
    <w:rsid w:val="320C2383"/>
    <w:rsid w:val="320D154F"/>
    <w:rsid w:val="321B2C8F"/>
    <w:rsid w:val="321F3964"/>
    <w:rsid w:val="32252170"/>
    <w:rsid w:val="323819ED"/>
    <w:rsid w:val="32496D87"/>
    <w:rsid w:val="32673C7A"/>
    <w:rsid w:val="32676A97"/>
    <w:rsid w:val="32747406"/>
    <w:rsid w:val="328A09D8"/>
    <w:rsid w:val="32902492"/>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C6572"/>
    <w:rsid w:val="339E27D3"/>
    <w:rsid w:val="33A65CE5"/>
    <w:rsid w:val="33A7265F"/>
    <w:rsid w:val="33BC6AB9"/>
    <w:rsid w:val="340777B6"/>
    <w:rsid w:val="340D366E"/>
    <w:rsid w:val="340D7B12"/>
    <w:rsid w:val="34143421"/>
    <w:rsid w:val="34164C19"/>
    <w:rsid w:val="34183C0D"/>
    <w:rsid w:val="3422536C"/>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54965"/>
    <w:rsid w:val="3508367E"/>
    <w:rsid w:val="35216C94"/>
    <w:rsid w:val="35373099"/>
    <w:rsid w:val="354B6B44"/>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621689F"/>
    <w:rsid w:val="36511F38"/>
    <w:rsid w:val="36590DED"/>
    <w:rsid w:val="366C2C6B"/>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D83F93"/>
    <w:rsid w:val="37DE5DD2"/>
    <w:rsid w:val="37F40AB9"/>
    <w:rsid w:val="37F6C505"/>
    <w:rsid w:val="38060B00"/>
    <w:rsid w:val="38190C70"/>
    <w:rsid w:val="384004B6"/>
    <w:rsid w:val="385C4BC4"/>
    <w:rsid w:val="3862187C"/>
    <w:rsid w:val="386677F1"/>
    <w:rsid w:val="38776B7B"/>
    <w:rsid w:val="3882287D"/>
    <w:rsid w:val="38A04AB1"/>
    <w:rsid w:val="38AB70D2"/>
    <w:rsid w:val="38B62526"/>
    <w:rsid w:val="38C2659D"/>
    <w:rsid w:val="38EC3CF4"/>
    <w:rsid w:val="38FD0155"/>
    <w:rsid w:val="3902576C"/>
    <w:rsid w:val="39033292"/>
    <w:rsid w:val="390A4620"/>
    <w:rsid w:val="390C65EA"/>
    <w:rsid w:val="391159AF"/>
    <w:rsid w:val="39162FC5"/>
    <w:rsid w:val="39355B41"/>
    <w:rsid w:val="393C4019"/>
    <w:rsid w:val="394418E0"/>
    <w:rsid w:val="394C74A8"/>
    <w:rsid w:val="395B56A7"/>
    <w:rsid w:val="395B752C"/>
    <w:rsid w:val="395E2643"/>
    <w:rsid w:val="39B0341A"/>
    <w:rsid w:val="39BC1DBE"/>
    <w:rsid w:val="39D52E8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950F30"/>
    <w:rsid w:val="3AA42DFE"/>
    <w:rsid w:val="3AA53E6D"/>
    <w:rsid w:val="3AAC208A"/>
    <w:rsid w:val="3AB6680E"/>
    <w:rsid w:val="3AC52989"/>
    <w:rsid w:val="3AC536C4"/>
    <w:rsid w:val="3ADE35F9"/>
    <w:rsid w:val="3AE315CD"/>
    <w:rsid w:val="3AE76371"/>
    <w:rsid w:val="3AED7D5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5476F"/>
    <w:rsid w:val="3C2E089C"/>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A148F"/>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E4E05"/>
    <w:rsid w:val="40703903"/>
    <w:rsid w:val="40910038"/>
    <w:rsid w:val="409A0980"/>
    <w:rsid w:val="40B21825"/>
    <w:rsid w:val="40B414F2"/>
    <w:rsid w:val="40B604B3"/>
    <w:rsid w:val="40B84E9E"/>
    <w:rsid w:val="41142D79"/>
    <w:rsid w:val="411C3143"/>
    <w:rsid w:val="412D35A2"/>
    <w:rsid w:val="41366161"/>
    <w:rsid w:val="413B5CBF"/>
    <w:rsid w:val="41520244"/>
    <w:rsid w:val="4157260C"/>
    <w:rsid w:val="418D0967"/>
    <w:rsid w:val="4194717D"/>
    <w:rsid w:val="419A45DB"/>
    <w:rsid w:val="41A53056"/>
    <w:rsid w:val="41B8730F"/>
    <w:rsid w:val="41C946BB"/>
    <w:rsid w:val="41E53E7C"/>
    <w:rsid w:val="41EF390B"/>
    <w:rsid w:val="41EF3ED6"/>
    <w:rsid w:val="41F8513D"/>
    <w:rsid w:val="42094AAD"/>
    <w:rsid w:val="4219198C"/>
    <w:rsid w:val="42240501"/>
    <w:rsid w:val="42264D31"/>
    <w:rsid w:val="42334BE8"/>
    <w:rsid w:val="42366486"/>
    <w:rsid w:val="42483274"/>
    <w:rsid w:val="42497F67"/>
    <w:rsid w:val="42521512"/>
    <w:rsid w:val="425410BD"/>
    <w:rsid w:val="425F30BA"/>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2FB09E7"/>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D1BA4"/>
    <w:rsid w:val="43AF26A1"/>
    <w:rsid w:val="43B62A0B"/>
    <w:rsid w:val="43B76C8B"/>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BC4854"/>
    <w:rsid w:val="44EF4BFB"/>
    <w:rsid w:val="44F372BD"/>
    <w:rsid w:val="44F71C5C"/>
    <w:rsid w:val="450311E5"/>
    <w:rsid w:val="45042EA6"/>
    <w:rsid w:val="450B3BFA"/>
    <w:rsid w:val="452847AC"/>
    <w:rsid w:val="45332DB0"/>
    <w:rsid w:val="45352A25"/>
    <w:rsid w:val="454A4722"/>
    <w:rsid w:val="454B6546"/>
    <w:rsid w:val="45521FA0"/>
    <w:rsid w:val="455A06DD"/>
    <w:rsid w:val="455E344B"/>
    <w:rsid w:val="45633A36"/>
    <w:rsid w:val="45895079"/>
    <w:rsid w:val="458A1EA0"/>
    <w:rsid w:val="458F17FE"/>
    <w:rsid w:val="459B4F7E"/>
    <w:rsid w:val="45C049E4"/>
    <w:rsid w:val="45C64D7A"/>
    <w:rsid w:val="45C85647"/>
    <w:rsid w:val="45D31DDE"/>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095F17"/>
    <w:rsid w:val="471548BC"/>
    <w:rsid w:val="4743767B"/>
    <w:rsid w:val="474C39E8"/>
    <w:rsid w:val="474F6381"/>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390DC3"/>
    <w:rsid w:val="483B47F6"/>
    <w:rsid w:val="483F7A92"/>
    <w:rsid w:val="48401E0D"/>
    <w:rsid w:val="48425B85"/>
    <w:rsid w:val="48483062"/>
    <w:rsid w:val="48563CF1"/>
    <w:rsid w:val="485D29BF"/>
    <w:rsid w:val="48822425"/>
    <w:rsid w:val="489D725F"/>
    <w:rsid w:val="48B12D0A"/>
    <w:rsid w:val="48BC2937"/>
    <w:rsid w:val="48CF320C"/>
    <w:rsid w:val="48F84495"/>
    <w:rsid w:val="48FC7B5E"/>
    <w:rsid w:val="490F1A0E"/>
    <w:rsid w:val="491276B1"/>
    <w:rsid w:val="491B4D4A"/>
    <w:rsid w:val="491C63D6"/>
    <w:rsid w:val="493A685C"/>
    <w:rsid w:val="493C4382"/>
    <w:rsid w:val="494070A6"/>
    <w:rsid w:val="4941681E"/>
    <w:rsid w:val="49481588"/>
    <w:rsid w:val="494D1980"/>
    <w:rsid w:val="496F0025"/>
    <w:rsid w:val="49725893"/>
    <w:rsid w:val="4989244E"/>
    <w:rsid w:val="49AB7375"/>
    <w:rsid w:val="49AD7F2A"/>
    <w:rsid w:val="49AE4702"/>
    <w:rsid w:val="49B511B0"/>
    <w:rsid w:val="49C12AD9"/>
    <w:rsid w:val="49C167BA"/>
    <w:rsid w:val="49D24CE6"/>
    <w:rsid w:val="49D660E9"/>
    <w:rsid w:val="49E55BB5"/>
    <w:rsid w:val="49E62540"/>
    <w:rsid w:val="49E8275C"/>
    <w:rsid w:val="49F79798"/>
    <w:rsid w:val="49F8205B"/>
    <w:rsid w:val="49FE1C28"/>
    <w:rsid w:val="4A142EB3"/>
    <w:rsid w:val="4A1452FF"/>
    <w:rsid w:val="4A216F28"/>
    <w:rsid w:val="4A242F21"/>
    <w:rsid w:val="4A2512BA"/>
    <w:rsid w:val="4A271167"/>
    <w:rsid w:val="4A3459A1"/>
    <w:rsid w:val="4A394407"/>
    <w:rsid w:val="4A407EA2"/>
    <w:rsid w:val="4A443111"/>
    <w:rsid w:val="4A5A21DD"/>
    <w:rsid w:val="4A5C2802"/>
    <w:rsid w:val="4A5D0A54"/>
    <w:rsid w:val="4A653DAC"/>
    <w:rsid w:val="4A673806"/>
    <w:rsid w:val="4A7B010A"/>
    <w:rsid w:val="4A8E6E5F"/>
    <w:rsid w:val="4A942154"/>
    <w:rsid w:val="4A98477E"/>
    <w:rsid w:val="4A9B5A20"/>
    <w:rsid w:val="4AA3160E"/>
    <w:rsid w:val="4AB00EEF"/>
    <w:rsid w:val="4AB20BFE"/>
    <w:rsid w:val="4AB276D4"/>
    <w:rsid w:val="4AC62A9D"/>
    <w:rsid w:val="4AD70271"/>
    <w:rsid w:val="4AE5660E"/>
    <w:rsid w:val="4AEB2504"/>
    <w:rsid w:val="4AEB35C7"/>
    <w:rsid w:val="4B11183E"/>
    <w:rsid w:val="4B117A90"/>
    <w:rsid w:val="4B1A46A7"/>
    <w:rsid w:val="4B1E5AAA"/>
    <w:rsid w:val="4B201A81"/>
    <w:rsid w:val="4B321EE0"/>
    <w:rsid w:val="4B5B0A99"/>
    <w:rsid w:val="4B6613BB"/>
    <w:rsid w:val="4B7E79FF"/>
    <w:rsid w:val="4B7F49FA"/>
    <w:rsid w:val="4BB87F0C"/>
    <w:rsid w:val="4BC615CD"/>
    <w:rsid w:val="4BD25472"/>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63256E"/>
    <w:rsid w:val="4C667968"/>
    <w:rsid w:val="4C674217"/>
    <w:rsid w:val="4C704ACB"/>
    <w:rsid w:val="4C790193"/>
    <w:rsid w:val="4C7C04B3"/>
    <w:rsid w:val="4C866699"/>
    <w:rsid w:val="4C872AB0"/>
    <w:rsid w:val="4C875163"/>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E6D7A"/>
    <w:rsid w:val="4D5A571F"/>
    <w:rsid w:val="4D5B0EA9"/>
    <w:rsid w:val="4D65600A"/>
    <w:rsid w:val="4D875DE8"/>
    <w:rsid w:val="4DA14FD6"/>
    <w:rsid w:val="4DAA3A77"/>
    <w:rsid w:val="4DAE5A6A"/>
    <w:rsid w:val="4DD94895"/>
    <w:rsid w:val="4DDE60C6"/>
    <w:rsid w:val="4DE82D2A"/>
    <w:rsid w:val="4DEB281B"/>
    <w:rsid w:val="4DFB65D6"/>
    <w:rsid w:val="4E0062C6"/>
    <w:rsid w:val="4E0D09E3"/>
    <w:rsid w:val="4E2875CB"/>
    <w:rsid w:val="4E2A2792"/>
    <w:rsid w:val="4E3C4E24"/>
    <w:rsid w:val="4E51210A"/>
    <w:rsid w:val="4E6C395B"/>
    <w:rsid w:val="4E6C58CE"/>
    <w:rsid w:val="4E775315"/>
    <w:rsid w:val="4E7B3B9E"/>
    <w:rsid w:val="4E872A00"/>
    <w:rsid w:val="4E8F764A"/>
    <w:rsid w:val="4E952D74"/>
    <w:rsid w:val="4EB46EE3"/>
    <w:rsid w:val="4EB47AF7"/>
    <w:rsid w:val="4ED46303"/>
    <w:rsid w:val="4EE9759A"/>
    <w:rsid w:val="4EF120B3"/>
    <w:rsid w:val="4EF15C0F"/>
    <w:rsid w:val="4EFD0A57"/>
    <w:rsid w:val="4F150C30"/>
    <w:rsid w:val="4F177185"/>
    <w:rsid w:val="4F1837F1"/>
    <w:rsid w:val="4F1D6A04"/>
    <w:rsid w:val="4F3124AF"/>
    <w:rsid w:val="4F4628B7"/>
    <w:rsid w:val="4F47222B"/>
    <w:rsid w:val="4F477F24"/>
    <w:rsid w:val="4F552641"/>
    <w:rsid w:val="4F5902F9"/>
    <w:rsid w:val="4F5B577E"/>
    <w:rsid w:val="4F5F0DCA"/>
    <w:rsid w:val="4F627F08"/>
    <w:rsid w:val="4F6904FD"/>
    <w:rsid w:val="4F6E3F54"/>
    <w:rsid w:val="4F7D56F4"/>
    <w:rsid w:val="4F810D59"/>
    <w:rsid w:val="4F880F19"/>
    <w:rsid w:val="4FA7680B"/>
    <w:rsid w:val="4FE70DC0"/>
    <w:rsid w:val="4FEA144E"/>
    <w:rsid w:val="4FEE0272"/>
    <w:rsid w:val="4FF90B37"/>
    <w:rsid w:val="50373AF5"/>
    <w:rsid w:val="50504BB7"/>
    <w:rsid w:val="505446A7"/>
    <w:rsid w:val="50591CBD"/>
    <w:rsid w:val="50687CFD"/>
    <w:rsid w:val="5075461D"/>
    <w:rsid w:val="50877DE9"/>
    <w:rsid w:val="508C57A9"/>
    <w:rsid w:val="509527C9"/>
    <w:rsid w:val="50963798"/>
    <w:rsid w:val="509B0528"/>
    <w:rsid w:val="509E3B74"/>
    <w:rsid w:val="50A932A5"/>
    <w:rsid w:val="50E063B5"/>
    <w:rsid w:val="50E557B7"/>
    <w:rsid w:val="50F01ECE"/>
    <w:rsid w:val="50F32112"/>
    <w:rsid w:val="50F934A0"/>
    <w:rsid w:val="50FA7DD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C30C7"/>
    <w:rsid w:val="52524633"/>
    <w:rsid w:val="52582856"/>
    <w:rsid w:val="52927709"/>
    <w:rsid w:val="52972A2E"/>
    <w:rsid w:val="52A10CD2"/>
    <w:rsid w:val="52AA2CA4"/>
    <w:rsid w:val="52B00B89"/>
    <w:rsid w:val="52B44881"/>
    <w:rsid w:val="52BD0F26"/>
    <w:rsid w:val="52C05FB8"/>
    <w:rsid w:val="52C5188C"/>
    <w:rsid w:val="52D10231"/>
    <w:rsid w:val="52DE46FC"/>
    <w:rsid w:val="53135385"/>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67626"/>
    <w:rsid w:val="56573025"/>
    <w:rsid w:val="56617B1E"/>
    <w:rsid w:val="56660C90"/>
    <w:rsid w:val="56786C15"/>
    <w:rsid w:val="568022D3"/>
    <w:rsid w:val="569F1F43"/>
    <w:rsid w:val="56AD4B11"/>
    <w:rsid w:val="56B73D78"/>
    <w:rsid w:val="56B7773E"/>
    <w:rsid w:val="56C37E91"/>
    <w:rsid w:val="56C8194B"/>
    <w:rsid w:val="56D14B3F"/>
    <w:rsid w:val="56E12A0D"/>
    <w:rsid w:val="56E14D36"/>
    <w:rsid w:val="56E562A5"/>
    <w:rsid w:val="56E83D9B"/>
    <w:rsid w:val="56ED7603"/>
    <w:rsid w:val="56F95FA8"/>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A6CD9"/>
    <w:rsid w:val="579E0776"/>
    <w:rsid w:val="57A86F73"/>
    <w:rsid w:val="57B51761"/>
    <w:rsid w:val="57BD3B8D"/>
    <w:rsid w:val="57BE03C2"/>
    <w:rsid w:val="57C87729"/>
    <w:rsid w:val="57D71FAD"/>
    <w:rsid w:val="58044C05"/>
    <w:rsid w:val="58246A62"/>
    <w:rsid w:val="5826089F"/>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D04AE7"/>
    <w:rsid w:val="58DE6EA9"/>
    <w:rsid w:val="58F5279F"/>
    <w:rsid w:val="59011F62"/>
    <w:rsid w:val="5919026C"/>
    <w:rsid w:val="591D2D5C"/>
    <w:rsid w:val="59260BAB"/>
    <w:rsid w:val="593E7CA2"/>
    <w:rsid w:val="59413C36"/>
    <w:rsid w:val="59482481"/>
    <w:rsid w:val="594D183A"/>
    <w:rsid w:val="59777658"/>
    <w:rsid w:val="59934492"/>
    <w:rsid w:val="59A55F73"/>
    <w:rsid w:val="59B9070D"/>
    <w:rsid w:val="59C25456"/>
    <w:rsid w:val="59C67907"/>
    <w:rsid w:val="59C90E97"/>
    <w:rsid w:val="59D63DBE"/>
    <w:rsid w:val="59D939CB"/>
    <w:rsid w:val="59E06FAB"/>
    <w:rsid w:val="59E23469"/>
    <w:rsid w:val="59E545C2"/>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961BA3"/>
    <w:rsid w:val="5C983B6D"/>
    <w:rsid w:val="5C9936CF"/>
    <w:rsid w:val="5CA21DD5"/>
    <w:rsid w:val="5CA70254"/>
    <w:rsid w:val="5CA90607"/>
    <w:rsid w:val="5CAA1613"/>
    <w:rsid w:val="5CAD649E"/>
    <w:rsid w:val="5CAE513F"/>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F603D"/>
    <w:rsid w:val="5D211DB5"/>
    <w:rsid w:val="5D2337F4"/>
    <w:rsid w:val="5D25097F"/>
    <w:rsid w:val="5D296A20"/>
    <w:rsid w:val="5D2E60F1"/>
    <w:rsid w:val="5D30024A"/>
    <w:rsid w:val="5D32709E"/>
    <w:rsid w:val="5D3362D5"/>
    <w:rsid w:val="5D351CF6"/>
    <w:rsid w:val="5D3A352A"/>
    <w:rsid w:val="5D3D0DD9"/>
    <w:rsid w:val="5D616655"/>
    <w:rsid w:val="5D6933AE"/>
    <w:rsid w:val="5D6FF579"/>
    <w:rsid w:val="5D75463C"/>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B20ACC"/>
    <w:rsid w:val="5EC121CF"/>
    <w:rsid w:val="5EC7698C"/>
    <w:rsid w:val="5ECD7727"/>
    <w:rsid w:val="5EE02DCE"/>
    <w:rsid w:val="5EE160E1"/>
    <w:rsid w:val="5EFA7CCD"/>
    <w:rsid w:val="5F105C3D"/>
    <w:rsid w:val="5F39735D"/>
    <w:rsid w:val="5F3A1BB8"/>
    <w:rsid w:val="5F3C4C84"/>
    <w:rsid w:val="5F3D27AA"/>
    <w:rsid w:val="5F4F6756"/>
    <w:rsid w:val="5F5065BD"/>
    <w:rsid w:val="5F517F6A"/>
    <w:rsid w:val="5F5D7619"/>
    <w:rsid w:val="5F630463"/>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117BF7"/>
    <w:rsid w:val="60123C37"/>
    <w:rsid w:val="60145C01"/>
    <w:rsid w:val="601849F0"/>
    <w:rsid w:val="601E5FE9"/>
    <w:rsid w:val="601F7E0C"/>
    <w:rsid w:val="60233110"/>
    <w:rsid w:val="602A3675"/>
    <w:rsid w:val="603A480E"/>
    <w:rsid w:val="604007A4"/>
    <w:rsid w:val="60442DFB"/>
    <w:rsid w:val="604C539B"/>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D1417"/>
    <w:rsid w:val="60FE3819"/>
    <w:rsid w:val="611319A3"/>
    <w:rsid w:val="611F2AAF"/>
    <w:rsid w:val="613320B7"/>
    <w:rsid w:val="61420669"/>
    <w:rsid w:val="61475B62"/>
    <w:rsid w:val="614B5652"/>
    <w:rsid w:val="614B78D3"/>
    <w:rsid w:val="615734A1"/>
    <w:rsid w:val="615A3AE7"/>
    <w:rsid w:val="615D7134"/>
    <w:rsid w:val="615E00E6"/>
    <w:rsid w:val="61883B50"/>
    <w:rsid w:val="61971FD4"/>
    <w:rsid w:val="61997DDD"/>
    <w:rsid w:val="61C01AEA"/>
    <w:rsid w:val="61C27EE6"/>
    <w:rsid w:val="61C41CAA"/>
    <w:rsid w:val="61C56AE9"/>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B873AC"/>
    <w:rsid w:val="62C21944"/>
    <w:rsid w:val="62C27B96"/>
    <w:rsid w:val="62D666CD"/>
    <w:rsid w:val="62DA4EE0"/>
    <w:rsid w:val="62E775FD"/>
    <w:rsid w:val="62F01FB7"/>
    <w:rsid w:val="62F15D85"/>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D77671"/>
    <w:rsid w:val="63FB7E2B"/>
    <w:rsid w:val="63FF4464"/>
    <w:rsid w:val="64033FC2"/>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40F0D"/>
    <w:rsid w:val="6546685C"/>
    <w:rsid w:val="65494646"/>
    <w:rsid w:val="656F7435"/>
    <w:rsid w:val="657131AE"/>
    <w:rsid w:val="657263F0"/>
    <w:rsid w:val="658A426F"/>
    <w:rsid w:val="65905D2A"/>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514EE"/>
    <w:rsid w:val="666B22F3"/>
    <w:rsid w:val="66770C98"/>
    <w:rsid w:val="667D112E"/>
    <w:rsid w:val="667E715E"/>
    <w:rsid w:val="669B6734"/>
    <w:rsid w:val="669E4476"/>
    <w:rsid w:val="66A23F66"/>
    <w:rsid w:val="66A250FC"/>
    <w:rsid w:val="66BDCAD7"/>
    <w:rsid w:val="66CD13A4"/>
    <w:rsid w:val="66D361CF"/>
    <w:rsid w:val="66FF662A"/>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70D9B"/>
    <w:rsid w:val="693712A3"/>
    <w:rsid w:val="6965127B"/>
    <w:rsid w:val="6975313E"/>
    <w:rsid w:val="697B284D"/>
    <w:rsid w:val="697F058F"/>
    <w:rsid w:val="69880A1E"/>
    <w:rsid w:val="698C4A5A"/>
    <w:rsid w:val="69985C0E"/>
    <w:rsid w:val="69A54EFF"/>
    <w:rsid w:val="69A73642"/>
    <w:rsid w:val="69B22F8D"/>
    <w:rsid w:val="69BF30D1"/>
    <w:rsid w:val="69CC12FA"/>
    <w:rsid w:val="69D458DC"/>
    <w:rsid w:val="69EA7B6D"/>
    <w:rsid w:val="6A0F5D3F"/>
    <w:rsid w:val="6A184540"/>
    <w:rsid w:val="6A1E62C2"/>
    <w:rsid w:val="6A270F1C"/>
    <w:rsid w:val="6A2811E7"/>
    <w:rsid w:val="6A386990"/>
    <w:rsid w:val="6A533EC3"/>
    <w:rsid w:val="6A6A1860"/>
    <w:rsid w:val="6A723459"/>
    <w:rsid w:val="6A8219B9"/>
    <w:rsid w:val="6A8614A9"/>
    <w:rsid w:val="6A892D47"/>
    <w:rsid w:val="6A9516EC"/>
    <w:rsid w:val="6AA964C8"/>
    <w:rsid w:val="6ABA1153"/>
    <w:rsid w:val="6ACE1274"/>
    <w:rsid w:val="6ACF2BCB"/>
    <w:rsid w:val="6AE465A9"/>
    <w:rsid w:val="6AE7478D"/>
    <w:rsid w:val="6AF91C7B"/>
    <w:rsid w:val="6B1B7E43"/>
    <w:rsid w:val="6B1C486B"/>
    <w:rsid w:val="6B2111D2"/>
    <w:rsid w:val="6B301415"/>
    <w:rsid w:val="6B427B4C"/>
    <w:rsid w:val="6B480E55"/>
    <w:rsid w:val="6B563571"/>
    <w:rsid w:val="6B65417C"/>
    <w:rsid w:val="6B8005EE"/>
    <w:rsid w:val="6BA63569"/>
    <w:rsid w:val="6BAF6547"/>
    <w:rsid w:val="6BB73E22"/>
    <w:rsid w:val="6BBE51DA"/>
    <w:rsid w:val="6BC7222F"/>
    <w:rsid w:val="6BC73B27"/>
    <w:rsid w:val="6BEA5A68"/>
    <w:rsid w:val="6BED02B0"/>
    <w:rsid w:val="6BF46439"/>
    <w:rsid w:val="6BF54284"/>
    <w:rsid w:val="6BF6265F"/>
    <w:rsid w:val="6BFD1C3F"/>
    <w:rsid w:val="6C07486C"/>
    <w:rsid w:val="6C2179D9"/>
    <w:rsid w:val="6C494D21"/>
    <w:rsid w:val="6C6A4059"/>
    <w:rsid w:val="6C891725"/>
    <w:rsid w:val="6C953C26"/>
    <w:rsid w:val="6C9A748E"/>
    <w:rsid w:val="6CB30550"/>
    <w:rsid w:val="6CB83ED7"/>
    <w:rsid w:val="6CBF0CA2"/>
    <w:rsid w:val="6CC938CF"/>
    <w:rsid w:val="6CCB2AC6"/>
    <w:rsid w:val="6CCB3AEB"/>
    <w:rsid w:val="6CD91C43"/>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E6F19"/>
    <w:rsid w:val="6D77157D"/>
    <w:rsid w:val="6D7D4DE5"/>
    <w:rsid w:val="6D7E290C"/>
    <w:rsid w:val="6D825A23"/>
    <w:rsid w:val="6D8F2D6B"/>
    <w:rsid w:val="6D9D7236"/>
    <w:rsid w:val="6DAA3E25"/>
    <w:rsid w:val="6DAC4F6A"/>
    <w:rsid w:val="6DC42A14"/>
    <w:rsid w:val="6DC81DD9"/>
    <w:rsid w:val="6DD62748"/>
    <w:rsid w:val="6DD8026E"/>
    <w:rsid w:val="6DD8201C"/>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F0F4163"/>
    <w:rsid w:val="6F11078E"/>
    <w:rsid w:val="6F1A0613"/>
    <w:rsid w:val="6F215871"/>
    <w:rsid w:val="6F286FD3"/>
    <w:rsid w:val="6F2D283B"/>
    <w:rsid w:val="6F3776A4"/>
    <w:rsid w:val="6F3B71D0"/>
    <w:rsid w:val="6F411E43"/>
    <w:rsid w:val="6F473CCA"/>
    <w:rsid w:val="6F5161F4"/>
    <w:rsid w:val="6F51652A"/>
    <w:rsid w:val="6F5554F3"/>
    <w:rsid w:val="6F570FB3"/>
    <w:rsid w:val="6F5E0C47"/>
    <w:rsid w:val="6F5F66AF"/>
    <w:rsid w:val="6F880833"/>
    <w:rsid w:val="6F9743DC"/>
    <w:rsid w:val="6F9F2C7C"/>
    <w:rsid w:val="6FBB27F8"/>
    <w:rsid w:val="6FBE2549"/>
    <w:rsid w:val="6FC8574F"/>
    <w:rsid w:val="6FD66A2F"/>
    <w:rsid w:val="6FE14D9A"/>
    <w:rsid w:val="6FF76E37"/>
    <w:rsid w:val="6FF9096F"/>
    <w:rsid w:val="6FFB46E7"/>
    <w:rsid w:val="6FFF438D"/>
    <w:rsid w:val="701514FB"/>
    <w:rsid w:val="701557A9"/>
    <w:rsid w:val="70187F49"/>
    <w:rsid w:val="70273BAE"/>
    <w:rsid w:val="702E0619"/>
    <w:rsid w:val="704936A5"/>
    <w:rsid w:val="704B6BFB"/>
    <w:rsid w:val="70526B41"/>
    <w:rsid w:val="705A19A9"/>
    <w:rsid w:val="706C1141"/>
    <w:rsid w:val="70827064"/>
    <w:rsid w:val="70921721"/>
    <w:rsid w:val="70975D92"/>
    <w:rsid w:val="70B0102E"/>
    <w:rsid w:val="70B3276B"/>
    <w:rsid w:val="70B825D8"/>
    <w:rsid w:val="70E85150"/>
    <w:rsid w:val="70F91AE5"/>
    <w:rsid w:val="70FD7917"/>
    <w:rsid w:val="71096990"/>
    <w:rsid w:val="710C022E"/>
    <w:rsid w:val="711F61B4"/>
    <w:rsid w:val="712B4B58"/>
    <w:rsid w:val="71520337"/>
    <w:rsid w:val="71641E18"/>
    <w:rsid w:val="718B3849"/>
    <w:rsid w:val="719170B1"/>
    <w:rsid w:val="71955D5E"/>
    <w:rsid w:val="71A010A2"/>
    <w:rsid w:val="71A14E1B"/>
    <w:rsid w:val="71B11502"/>
    <w:rsid w:val="71B21F4E"/>
    <w:rsid w:val="71BF76AF"/>
    <w:rsid w:val="71CB640B"/>
    <w:rsid w:val="71DD2ACC"/>
    <w:rsid w:val="71DE628F"/>
    <w:rsid w:val="71E93A30"/>
    <w:rsid w:val="71F118FE"/>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B0FCB"/>
    <w:rsid w:val="73527B18"/>
    <w:rsid w:val="735A7977"/>
    <w:rsid w:val="73634A7D"/>
    <w:rsid w:val="737F2F3A"/>
    <w:rsid w:val="73886292"/>
    <w:rsid w:val="738A1B7C"/>
    <w:rsid w:val="739E5AB6"/>
    <w:rsid w:val="73B027E7"/>
    <w:rsid w:val="73B06DAD"/>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C07CAE"/>
    <w:rsid w:val="74C4779E"/>
    <w:rsid w:val="74CA4688"/>
    <w:rsid w:val="74EE0377"/>
    <w:rsid w:val="74EF90E4"/>
    <w:rsid w:val="74F02341"/>
    <w:rsid w:val="74F71A3C"/>
    <w:rsid w:val="74F76FC4"/>
    <w:rsid w:val="74F7C30B"/>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077DD"/>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478F8"/>
    <w:rsid w:val="79C54D55"/>
    <w:rsid w:val="79C7398C"/>
    <w:rsid w:val="79CC738B"/>
    <w:rsid w:val="79D55FA9"/>
    <w:rsid w:val="79DA35C0"/>
    <w:rsid w:val="79F503F9"/>
    <w:rsid w:val="79F9484F"/>
    <w:rsid w:val="79FFC74C"/>
    <w:rsid w:val="7A0D129F"/>
    <w:rsid w:val="7A10413A"/>
    <w:rsid w:val="7A28639F"/>
    <w:rsid w:val="7A2F0069"/>
    <w:rsid w:val="7A39665C"/>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784E3E"/>
    <w:rsid w:val="7B8533A3"/>
    <w:rsid w:val="7B933A26"/>
    <w:rsid w:val="7B963516"/>
    <w:rsid w:val="7BA12A98"/>
    <w:rsid w:val="7BAD6BCB"/>
    <w:rsid w:val="7BB7552F"/>
    <w:rsid w:val="7BB816DF"/>
    <w:rsid w:val="7BD61B65"/>
    <w:rsid w:val="7BDF291E"/>
    <w:rsid w:val="7BDFA810"/>
    <w:rsid w:val="7BE64DEE"/>
    <w:rsid w:val="7BF9AD0F"/>
    <w:rsid w:val="7BFEF8D6"/>
    <w:rsid w:val="7C112820"/>
    <w:rsid w:val="7C176405"/>
    <w:rsid w:val="7C1F350C"/>
    <w:rsid w:val="7C246D74"/>
    <w:rsid w:val="7C26489A"/>
    <w:rsid w:val="7C264EB4"/>
    <w:rsid w:val="7C283DBB"/>
    <w:rsid w:val="7C3D1633"/>
    <w:rsid w:val="7C42560F"/>
    <w:rsid w:val="7C437DA8"/>
    <w:rsid w:val="7C4C370C"/>
    <w:rsid w:val="7C683105"/>
    <w:rsid w:val="7C99506C"/>
    <w:rsid w:val="7CA3E458"/>
    <w:rsid w:val="7CB61A2D"/>
    <w:rsid w:val="7CBA4FE2"/>
    <w:rsid w:val="7CC145C3"/>
    <w:rsid w:val="7CDB7267"/>
    <w:rsid w:val="7CF76237"/>
    <w:rsid w:val="7D20753B"/>
    <w:rsid w:val="7D243089"/>
    <w:rsid w:val="7D3179E1"/>
    <w:rsid w:val="7D3B4375"/>
    <w:rsid w:val="7D3EB3A4"/>
    <w:rsid w:val="7D501307"/>
    <w:rsid w:val="7D584F27"/>
    <w:rsid w:val="7D5B766A"/>
    <w:rsid w:val="7D656FEB"/>
    <w:rsid w:val="7D707273"/>
    <w:rsid w:val="7D7B6E68"/>
    <w:rsid w:val="7D9412BF"/>
    <w:rsid w:val="7D9C12B8"/>
    <w:rsid w:val="7D9F29C6"/>
    <w:rsid w:val="7DAA52A9"/>
    <w:rsid w:val="7DB52379"/>
    <w:rsid w:val="7DCCA3E6"/>
    <w:rsid w:val="7DCE19F2"/>
    <w:rsid w:val="7DEE5872"/>
    <w:rsid w:val="7DF3A18F"/>
    <w:rsid w:val="7DFF2D22"/>
    <w:rsid w:val="7E116B93"/>
    <w:rsid w:val="7E1F3C97"/>
    <w:rsid w:val="7E2D1F10"/>
    <w:rsid w:val="7E3253AB"/>
    <w:rsid w:val="7E3322A7"/>
    <w:rsid w:val="7E383D56"/>
    <w:rsid w:val="7E3E0F35"/>
    <w:rsid w:val="7E461224"/>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6450B"/>
    <w:rsid w:val="7F77A9CB"/>
    <w:rsid w:val="7F7D58EC"/>
    <w:rsid w:val="7F7F17A7"/>
    <w:rsid w:val="7F8D1B23"/>
    <w:rsid w:val="7F9B2214"/>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next w:val="24"/>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1278</Words>
  <Characters>1514</Characters>
  <Lines>348</Lines>
  <Paragraphs>98</Paragraphs>
  <TotalTime>2</TotalTime>
  <ScaleCrop>false</ScaleCrop>
  <LinksUpToDate>false</LinksUpToDate>
  <CharactersWithSpaces>1665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2025-02-22T08:52:55Z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